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617C1D" w:rsidP="00F91F80">
      <w:pPr>
        <w:spacing w:after="0" w:line="240" w:lineRule="auto"/>
        <w:rPr>
          <w:b/>
        </w:rPr>
      </w:pPr>
      <w:r>
        <w:rPr>
          <w:b/>
        </w:rPr>
        <w:t xml:space="preserve">RF Spectrum Ad Hoc </w:t>
      </w:r>
      <w:r w:rsidR="00CD7DB1">
        <w:rPr>
          <w:b/>
        </w:rPr>
        <w:t xml:space="preserve">– </w:t>
      </w:r>
      <w:r w:rsidR="00013422">
        <w:rPr>
          <w:b/>
        </w:rPr>
        <w:t xml:space="preserve">Minutes </w:t>
      </w:r>
      <w:r w:rsidR="004C0B71">
        <w:rPr>
          <w:b/>
        </w:rPr>
        <w:t>March 12</w:t>
      </w:r>
      <w:r w:rsidR="00CD7DB1">
        <w:rPr>
          <w:b/>
        </w:rPr>
        <w:t>,</w:t>
      </w:r>
      <w:r w:rsidR="00E67C83">
        <w:rPr>
          <w:b/>
        </w:rPr>
        <w:t xml:space="preserve"> 2013</w:t>
      </w:r>
    </w:p>
    <w:p w:rsidR="00F91F80" w:rsidRDefault="00F91F80" w:rsidP="00F91F80">
      <w:pPr>
        <w:spacing w:after="0" w:line="240" w:lineRule="auto"/>
      </w:pPr>
    </w:p>
    <w:p w:rsidR="00F91F80" w:rsidRPr="00A06306" w:rsidRDefault="00CD7DB1" w:rsidP="00CD7DB1">
      <w:pPr>
        <w:spacing w:after="0" w:line="240" w:lineRule="auto"/>
        <w:rPr>
          <w:b/>
        </w:rPr>
      </w:pPr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 xml:space="preserve">.  Everyone </w:t>
      </w:r>
      <w:r w:rsidR="00A06306">
        <w:rPr>
          <w:b/>
        </w:rPr>
        <w:t>on the call was familiar with the patent policy.</w:t>
      </w:r>
    </w:p>
    <w:p w:rsidR="00F91F80" w:rsidRDefault="00F91F80" w:rsidP="00CD7D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https://development.standards.ieee.org/myproject/Public/mytools/mob/slideset.pdf </w:t>
      </w:r>
    </w:p>
    <w:p w:rsidR="004D121E" w:rsidRDefault="004D121E" w:rsidP="004C3ADE">
      <w:pPr>
        <w:spacing w:after="0" w:line="240" w:lineRule="auto"/>
      </w:pPr>
    </w:p>
    <w:p w:rsidR="002F2A5A" w:rsidRDefault="002F2A5A" w:rsidP="004C3ADE">
      <w:pPr>
        <w:spacing w:after="0" w:line="240" w:lineRule="auto"/>
      </w:pPr>
      <w:r>
        <w:t xml:space="preserve">Everyone on the call was familiar </w:t>
      </w:r>
      <w:r w:rsidR="002C2618">
        <w:t>with</w:t>
      </w:r>
      <w:r>
        <w:t xml:space="preserve"> the IEEE patent policy.</w:t>
      </w:r>
    </w:p>
    <w:p w:rsidR="00024A3D" w:rsidRDefault="00024A3D" w:rsidP="004C3ADE">
      <w:pPr>
        <w:spacing w:after="0" w:line="240" w:lineRule="auto"/>
      </w:pPr>
    </w:p>
    <w:p w:rsidR="00024A3D" w:rsidRPr="0031584C" w:rsidRDefault="00D3203F" w:rsidP="004C3ADE">
      <w:pPr>
        <w:spacing w:after="0" w:line="240" w:lineRule="auto"/>
        <w:rPr>
          <w:b/>
        </w:rPr>
      </w:pPr>
      <w:r w:rsidRPr="0031584C">
        <w:rPr>
          <w:b/>
        </w:rPr>
        <w:t>Straw Polls</w:t>
      </w:r>
      <w:r w:rsidR="0031584C" w:rsidRPr="0031584C">
        <w:rPr>
          <w:b/>
        </w:rPr>
        <w:t xml:space="preserve"> (Duane Remein)</w:t>
      </w:r>
    </w:p>
    <w:p w:rsidR="007A341F" w:rsidRDefault="007A341F" w:rsidP="004C3ADE">
      <w:pPr>
        <w:spacing w:after="0" w:line="240" w:lineRule="auto"/>
      </w:pPr>
    </w:p>
    <w:p w:rsidR="001843CA" w:rsidRDefault="001843CA" w:rsidP="004C3ADE">
      <w:pPr>
        <w:spacing w:after="0" w:line="240" w:lineRule="auto"/>
      </w:pPr>
      <w:r>
        <w:t>Discussed number of allowed exclusion subbands</w:t>
      </w:r>
      <w:r w:rsidR="00C0252D">
        <w:t>.   We count a single exclusion subband as a continuous block of frequency.</w:t>
      </w:r>
    </w:p>
    <w:p w:rsidR="001843CA" w:rsidRDefault="001843CA" w:rsidP="004C3ADE">
      <w:pPr>
        <w:spacing w:after="0" w:line="240" w:lineRule="auto"/>
      </w:pPr>
    </w:p>
    <w:p w:rsidR="001843CA" w:rsidRDefault="00B2352D" w:rsidP="004C3ADE">
      <w:pPr>
        <w:spacing w:after="0" w:line="240" w:lineRule="auto"/>
      </w:pPr>
      <w:r>
        <w:t xml:space="preserve">Discussed several reasons for exclusion subbands: protection of legacy service (pilot, TV channel), avoid interference, and limit egress to limit </w:t>
      </w:r>
      <w:r w:rsidR="00D02519">
        <w:t>interference to wireless systems</w:t>
      </w:r>
    </w:p>
    <w:p w:rsidR="00D02519" w:rsidRDefault="00D02519" w:rsidP="004C3ADE">
      <w:pPr>
        <w:spacing w:after="0" w:line="240" w:lineRule="auto"/>
      </w:pPr>
    </w:p>
    <w:p w:rsidR="00D02519" w:rsidRDefault="00E87E97" w:rsidP="004C3ADE">
      <w:pPr>
        <w:spacing w:after="0" w:line="240" w:lineRule="auto"/>
      </w:pPr>
      <w:r>
        <w:t xml:space="preserve">Do not recommend allowing analog TV channel in-band.  For a QAM signal we need 0.5 to 1 MHz on each side of the 6 MHz channel.  So for a 6 MHz TV channel we may want to exclude </w:t>
      </w:r>
      <w:r w:rsidR="00F56237">
        <w:t>approximately</w:t>
      </w:r>
      <w:r>
        <w:t xml:space="preserve"> 8 MHz exclusion band.</w:t>
      </w:r>
    </w:p>
    <w:p w:rsidR="00E87E97" w:rsidRDefault="00E87E97" w:rsidP="004C3ADE">
      <w:pPr>
        <w:spacing w:after="0" w:line="240" w:lineRule="auto"/>
      </w:pPr>
    </w:p>
    <w:p w:rsidR="00E87E97" w:rsidRDefault="005B1890" w:rsidP="004C3ADE">
      <w:pPr>
        <w:spacing w:after="0" w:line="240" w:lineRule="auto"/>
      </w:pPr>
      <w:r>
        <w:t xml:space="preserve">So we should allow for a number of exclusion bands since we are not sure what </w:t>
      </w:r>
    </w:p>
    <w:p w:rsidR="005B1890" w:rsidRDefault="005B1890" w:rsidP="004C3ADE">
      <w:pPr>
        <w:spacing w:after="0" w:line="240" w:lineRule="auto"/>
      </w:pPr>
    </w:p>
    <w:p w:rsidR="005B1890" w:rsidRDefault="005B1890" w:rsidP="004C3ADE">
      <w:pPr>
        <w:spacing w:after="0" w:line="240" w:lineRule="auto"/>
      </w:pPr>
      <w:r>
        <w:t>Do the MSOs null anything with their current QAMs?  Today they either fix it or turn it off.</w:t>
      </w:r>
    </w:p>
    <w:p w:rsidR="005B1890" w:rsidRDefault="005B1890" w:rsidP="004C3ADE">
      <w:pPr>
        <w:spacing w:after="0" w:line="240" w:lineRule="auto"/>
      </w:pPr>
    </w:p>
    <w:p w:rsidR="00E87E97" w:rsidRDefault="005B1890" w:rsidP="004C3ADE">
      <w:pPr>
        <w:spacing w:after="0" w:line="240" w:lineRule="auto"/>
      </w:pPr>
      <w:r>
        <w:t>Today in the downstream they work in 6 or 8 MHz channels.</w:t>
      </w:r>
    </w:p>
    <w:p w:rsidR="005B1890" w:rsidRDefault="005B1890" w:rsidP="004C3ADE">
      <w:pPr>
        <w:spacing w:after="0" w:line="240" w:lineRule="auto"/>
      </w:pPr>
    </w:p>
    <w:p w:rsidR="005B1890" w:rsidRDefault="00F94191" w:rsidP="004C3ADE">
      <w:pPr>
        <w:spacing w:after="0" w:line="240" w:lineRule="auto"/>
      </w:pPr>
      <w:r>
        <w:t>Are there any bands in US and Europe we need to avoid to limit egress?  One band is the aviation band</w:t>
      </w:r>
      <w:r w:rsidR="00B27170">
        <w:t xml:space="preserve"> (</w:t>
      </w:r>
      <w:r w:rsidR="00F56237">
        <w:t>approximately</w:t>
      </w:r>
      <w:r w:rsidR="00B27170">
        <w:t xml:space="preserve"> 108 MHz to several hundred MHz)</w:t>
      </w:r>
      <w:r>
        <w:t xml:space="preserve">.  The other is the LTE band.  If we go above 1.2 </w:t>
      </w:r>
      <w:r w:rsidR="008B1139">
        <w:t>GHz we</w:t>
      </w:r>
      <w:r>
        <w:t xml:space="preserve"> can run into GPS and other systems.</w:t>
      </w:r>
    </w:p>
    <w:p w:rsidR="00F94191" w:rsidRDefault="00F94191" w:rsidP="004C3ADE">
      <w:pPr>
        <w:spacing w:after="0" w:line="240" w:lineRule="auto"/>
      </w:pPr>
    </w:p>
    <w:p w:rsidR="00F94191" w:rsidRDefault="00CE43E0" w:rsidP="004C3ADE">
      <w:pPr>
        <w:spacing w:after="0" w:line="240" w:lineRule="auto"/>
      </w:pPr>
      <w:r>
        <w:t>If the return path is expanded, we have to be concerned about the FM band.</w:t>
      </w:r>
      <w:r w:rsidR="009F6344">
        <w:t xml:space="preserve">  Upstream could exceed the ATSC downstream.</w:t>
      </w:r>
    </w:p>
    <w:p w:rsidR="009F6344" w:rsidRDefault="009F6344" w:rsidP="004C3ADE">
      <w:pPr>
        <w:spacing w:after="0" w:line="240" w:lineRule="auto"/>
      </w:pPr>
    </w:p>
    <w:p w:rsidR="00C31A8E" w:rsidRPr="001E077F" w:rsidRDefault="00C31A8E" w:rsidP="004C3ADE">
      <w:pPr>
        <w:spacing w:after="0" w:line="240" w:lineRule="auto"/>
        <w:rPr>
          <w:b/>
        </w:rPr>
      </w:pPr>
      <w:r w:rsidRPr="001E077F">
        <w:rPr>
          <w:b/>
        </w:rPr>
        <w:t>Straw Poll #1</w:t>
      </w:r>
    </w:p>
    <w:p w:rsidR="001E077F" w:rsidRDefault="001E077F" w:rsidP="001E077F">
      <w:pPr>
        <w:spacing w:after="0" w:line="240" w:lineRule="auto"/>
      </w:pPr>
      <w:r>
        <w:t>The maximum number of separate internal DS Exclusion Bands should be</w:t>
      </w:r>
      <w:r>
        <w:t>,</w:t>
      </w:r>
    </w:p>
    <w:p w:rsidR="001E077F" w:rsidRDefault="001E077F" w:rsidP="001E077F">
      <w:pPr>
        <w:spacing w:after="0" w:line="240" w:lineRule="auto"/>
      </w:pPr>
    </w:p>
    <w:p w:rsidR="001E077F" w:rsidRDefault="001E077F" w:rsidP="001E077F">
      <w:pPr>
        <w:spacing w:after="0" w:line="240" w:lineRule="auto"/>
      </w:pPr>
      <w:r>
        <w:t>2</w:t>
      </w:r>
      <w:r>
        <w:tab/>
      </w:r>
      <w:r>
        <w:tab/>
        <w:t>0</w:t>
      </w:r>
    </w:p>
    <w:p w:rsidR="001E077F" w:rsidRDefault="001E077F" w:rsidP="001E077F">
      <w:pPr>
        <w:spacing w:after="0" w:line="240" w:lineRule="auto"/>
      </w:pPr>
      <w:r>
        <w:t>4</w:t>
      </w:r>
      <w:r>
        <w:tab/>
      </w:r>
      <w:r>
        <w:tab/>
        <w:t>0</w:t>
      </w:r>
    </w:p>
    <w:p w:rsidR="001E077F" w:rsidRDefault="001E077F" w:rsidP="001E077F">
      <w:pPr>
        <w:spacing w:after="0" w:line="240" w:lineRule="auto"/>
      </w:pPr>
      <w:r>
        <w:t>6</w:t>
      </w:r>
      <w:r>
        <w:tab/>
      </w:r>
      <w:r>
        <w:tab/>
        <w:t>0</w:t>
      </w:r>
    </w:p>
    <w:p w:rsidR="001E077F" w:rsidRDefault="001E077F" w:rsidP="001E077F">
      <w:pPr>
        <w:spacing w:after="0" w:line="240" w:lineRule="auto"/>
      </w:pPr>
      <w:r>
        <w:t>8</w:t>
      </w:r>
      <w:r>
        <w:tab/>
      </w:r>
      <w:r>
        <w:tab/>
        <w:t>3</w:t>
      </w:r>
    </w:p>
    <w:p w:rsidR="001E077F" w:rsidRDefault="001E077F" w:rsidP="001E077F">
      <w:pPr>
        <w:spacing w:after="0" w:line="240" w:lineRule="auto"/>
      </w:pPr>
      <w:r>
        <w:t>16</w:t>
      </w:r>
      <w:r>
        <w:tab/>
      </w:r>
      <w:r>
        <w:tab/>
        <w:t>4</w:t>
      </w:r>
    </w:p>
    <w:p w:rsidR="001E077F" w:rsidRDefault="001E077F" w:rsidP="001E077F">
      <w:pPr>
        <w:spacing w:after="0" w:line="240" w:lineRule="auto"/>
      </w:pPr>
      <w:r>
        <w:t>Other</w:t>
      </w:r>
      <w:r>
        <w:tab/>
      </w:r>
      <w:r>
        <w:tab/>
        <w:t>1(128)</w:t>
      </w:r>
    </w:p>
    <w:p w:rsidR="00C31A8E" w:rsidRDefault="001E077F" w:rsidP="001E077F">
      <w:pPr>
        <w:spacing w:after="0" w:line="240" w:lineRule="auto"/>
      </w:pPr>
      <w:r>
        <w:t>Abstain</w:t>
      </w:r>
      <w:r>
        <w:tab/>
      </w:r>
      <w:r>
        <w:tab/>
        <w:t>2</w:t>
      </w:r>
    </w:p>
    <w:p w:rsidR="00C31A8E" w:rsidRDefault="00C31A8E" w:rsidP="004C3ADE">
      <w:pPr>
        <w:spacing w:after="0" w:line="240" w:lineRule="auto"/>
      </w:pPr>
    </w:p>
    <w:p w:rsidR="00C31A8E" w:rsidRDefault="00790E89" w:rsidP="004C3ADE">
      <w:pPr>
        <w:spacing w:after="0" w:line="240" w:lineRule="auto"/>
      </w:pPr>
      <w:r>
        <w:t>We d</w:t>
      </w:r>
      <w:bookmarkStart w:id="0" w:name="_GoBack"/>
      <w:bookmarkEnd w:id="0"/>
      <w:r w:rsidR="00C31A8E">
        <w:t xml:space="preserve">iscussed if we should specify a minimum size of the </w:t>
      </w:r>
      <w:r w:rsidR="00F56237">
        <w:t>exclusion</w:t>
      </w:r>
      <w:r w:rsidR="00C31A8E">
        <w:t xml:space="preserve"> subband.</w:t>
      </w:r>
    </w:p>
    <w:p w:rsidR="00C31A8E" w:rsidRDefault="00C31A8E" w:rsidP="004C3ADE">
      <w:pPr>
        <w:spacing w:after="0" w:line="240" w:lineRule="auto"/>
      </w:pPr>
    </w:p>
    <w:p w:rsidR="00C31A8E" w:rsidRDefault="00704432" w:rsidP="004C3ADE">
      <w:pPr>
        <w:spacing w:after="0" w:line="240" w:lineRule="auto"/>
      </w:pPr>
      <w:r>
        <w:t>You cannot get significant rejection if you only have a 1 MHz exclusion subband</w:t>
      </w:r>
      <w:r w:rsidR="005B4FD6">
        <w:t>.</w:t>
      </w:r>
    </w:p>
    <w:p w:rsidR="00704432" w:rsidRDefault="00704432" w:rsidP="004C3ADE">
      <w:pPr>
        <w:spacing w:after="0" w:line="240" w:lineRule="auto"/>
      </w:pPr>
    </w:p>
    <w:p w:rsidR="00704432" w:rsidRDefault="005B4FD6" w:rsidP="004C3ADE">
      <w:pPr>
        <w:spacing w:after="0" w:line="240" w:lineRule="auto"/>
      </w:pPr>
      <w:r>
        <w:t>If there was narrowband interference a 1 MHz exclusion subband could make sense.</w:t>
      </w:r>
    </w:p>
    <w:p w:rsidR="005B4FD6" w:rsidRDefault="005B4FD6" w:rsidP="004C3ADE">
      <w:pPr>
        <w:spacing w:after="0" w:line="240" w:lineRule="auto"/>
      </w:pPr>
    </w:p>
    <w:p w:rsidR="005B4FD6" w:rsidRPr="00790E89" w:rsidRDefault="00321A81" w:rsidP="004C3ADE">
      <w:pPr>
        <w:spacing w:after="0" w:line="240" w:lineRule="auto"/>
        <w:rPr>
          <w:b/>
        </w:rPr>
      </w:pPr>
      <w:r w:rsidRPr="00790E89">
        <w:rPr>
          <w:b/>
        </w:rPr>
        <w:t>Straw Poll #2</w:t>
      </w:r>
    </w:p>
    <w:p w:rsidR="00871B7E" w:rsidRDefault="00871B7E" w:rsidP="00871B7E">
      <w:pPr>
        <w:spacing w:after="0" w:line="240" w:lineRule="auto"/>
      </w:pPr>
      <w:r>
        <w:t>The minimum width of a DS exclusion band (internal or edge) should be at least:</w:t>
      </w:r>
    </w:p>
    <w:p w:rsidR="00871B7E" w:rsidRDefault="00871B7E" w:rsidP="00871B7E">
      <w:pPr>
        <w:spacing w:after="0" w:line="240" w:lineRule="auto"/>
      </w:pPr>
    </w:p>
    <w:p w:rsidR="00871B7E" w:rsidRDefault="00871B7E" w:rsidP="00871B7E">
      <w:pPr>
        <w:spacing w:after="0" w:line="240" w:lineRule="auto"/>
      </w:pPr>
      <w:r>
        <w:t>1 (min granularity)</w:t>
      </w:r>
      <w:r>
        <w:tab/>
        <w:t>7</w:t>
      </w:r>
    </w:p>
    <w:p w:rsidR="00871B7E" w:rsidRDefault="00871B7E" w:rsidP="00871B7E">
      <w:pPr>
        <w:spacing w:after="0" w:line="240" w:lineRule="auto"/>
      </w:pPr>
      <w:r>
        <w:t>2</w:t>
      </w:r>
      <w:r>
        <w:tab/>
      </w:r>
      <w:r>
        <w:tab/>
      </w:r>
      <w:r>
        <w:tab/>
        <w:t>1</w:t>
      </w:r>
    </w:p>
    <w:p w:rsidR="00871B7E" w:rsidRDefault="00871B7E" w:rsidP="00871B7E">
      <w:pPr>
        <w:spacing w:after="0" w:line="240" w:lineRule="auto"/>
      </w:pPr>
      <w:r>
        <w:t>6</w:t>
      </w:r>
      <w:r>
        <w:tab/>
      </w:r>
      <w:r>
        <w:tab/>
      </w:r>
      <w:r>
        <w:tab/>
        <w:t>0</w:t>
      </w:r>
    </w:p>
    <w:p w:rsidR="00871B7E" w:rsidRDefault="00871B7E" w:rsidP="00871B7E">
      <w:pPr>
        <w:spacing w:after="0" w:line="240" w:lineRule="auto"/>
      </w:pPr>
      <w:r>
        <w:t>8</w:t>
      </w:r>
      <w:r>
        <w:tab/>
      </w:r>
      <w:r>
        <w:tab/>
      </w:r>
      <w:r>
        <w:tab/>
        <w:t>0</w:t>
      </w:r>
    </w:p>
    <w:p w:rsidR="00871B7E" w:rsidRDefault="00871B7E" w:rsidP="00871B7E">
      <w:pPr>
        <w:spacing w:after="0" w:line="240" w:lineRule="auto"/>
      </w:pPr>
      <w:r>
        <w:t>Other</w:t>
      </w:r>
      <w:r>
        <w:tab/>
      </w:r>
      <w:r>
        <w:tab/>
      </w:r>
      <w:r>
        <w:tab/>
        <w:t>0</w:t>
      </w:r>
    </w:p>
    <w:p w:rsidR="00871B7E" w:rsidRDefault="00871B7E" w:rsidP="00871B7E">
      <w:pPr>
        <w:spacing w:after="0" w:line="240" w:lineRule="auto"/>
      </w:pPr>
      <w:r>
        <w:t>Abstain</w:t>
      </w:r>
      <w:r>
        <w:tab/>
      </w:r>
      <w:r>
        <w:tab/>
      </w:r>
      <w:r>
        <w:tab/>
        <w:t>2</w:t>
      </w:r>
    </w:p>
    <w:p w:rsidR="000A6188" w:rsidRDefault="000A6188" w:rsidP="004C3ADE">
      <w:pPr>
        <w:spacing w:after="0" w:line="240" w:lineRule="auto"/>
      </w:pPr>
    </w:p>
    <w:p w:rsidR="00790E89" w:rsidRDefault="00790E89" w:rsidP="004C3ADE">
      <w:pPr>
        <w:spacing w:after="0" w:line="240" w:lineRule="auto"/>
      </w:pPr>
    </w:p>
    <w:p w:rsidR="000A6188" w:rsidRDefault="00871B7E" w:rsidP="004C3ADE">
      <w:pPr>
        <w:spacing w:after="0" w:line="240" w:lineRule="auto"/>
      </w:pPr>
      <w:r>
        <w:t>We d</w:t>
      </w:r>
      <w:r w:rsidR="000A6188">
        <w:t>iscussed possible TDD band frequencies.  Would we have one or two TDD bands?</w:t>
      </w:r>
    </w:p>
    <w:p w:rsidR="000A6188" w:rsidRDefault="000A6188" w:rsidP="004C3ADE">
      <w:pPr>
        <w:spacing w:after="0" w:line="240" w:lineRule="auto"/>
      </w:pPr>
    </w:p>
    <w:p w:rsidR="000A6188" w:rsidRDefault="005F564F" w:rsidP="004C3ADE">
      <w:pPr>
        <w:spacing w:after="0" w:line="240" w:lineRule="auto"/>
      </w:pPr>
      <w:r>
        <w:t xml:space="preserve">Two bands mentions so far are a low band up to 200 MHz and an upper </w:t>
      </w:r>
      <w:r w:rsidR="00674C8E">
        <w:t>band starting around 800 MHz.</w:t>
      </w:r>
    </w:p>
    <w:p w:rsidR="00790E89" w:rsidRDefault="00790E89" w:rsidP="00790E89">
      <w:pPr>
        <w:spacing w:after="0" w:line="240" w:lineRule="auto"/>
      </w:pPr>
    </w:p>
    <w:p w:rsidR="00790E89" w:rsidRPr="00617C1D" w:rsidRDefault="00790E89" w:rsidP="00790E89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790E89" w:rsidRPr="00617C1D" w:rsidTr="00156F20">
        <w:tc>
          <w:tcPr>
            <w:tcW w:w="3438" w:type="dxa"/>
          </w:tcPr>
          <w:p w:rsidR="00790E89" w:rsidRPr="00617C1D" w:rsidRDefault="00790E89" w:rsidP="00156F20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790E89" w:rsidRPr="00617C1D" w:rsidRDefault="00790E89" w:rsidP="00156F20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Jim Farmer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Aurora Networks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Marek Hajduczenia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ZTE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Leo Montreuil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Broadcom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Paul Nikolich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YAS Broadband Ventures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Christian Pietsch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 xml:space="preserve">Qualcomm 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Bill Powell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Alcatel Lucent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Duane Remein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Huawei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Steve Shellhammer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 xml:space="preserve">Qualcomm 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Tom Staniec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Cohere Communications</w:t>
            </w:r>
          </w:p>
        </w:tc>
      </w:tr>
      <w:tr w:rsidR="00790E89" w:rsidRPr="00790E89" w:rsidTr="00156F20">
        <w:tc>
          <w:tcPr>
            <w:tcW w:w="3438" w:type="dxa"/>
          </w:tcPr>
          <w:p w:rsidR="00790E89" w:rsidRPr="00790E89" w:rsidRDefault="00790E89" w:rsidP="00156F20">
            <w:r w:rsidRPr="00790E89">
              <w:t>Nicola Varanese</w:t>
            </w:r>
          </w:p>
        </w:tc>
        <w:tc>
          <w:tcPr>
            <w:tcW w:w="3780" w:type="dxa"/>
          </w:tcPr>
          <w:p w:rsidR="00790E89" w:rsidRPr="00790E89" w:rsidRDefault="00790E89" w:rsidP="00156F20">
            <w:r w:rsidRPr="00790E89">
              <w:t>Qualcomm</w:t>
            </w:r>
          </w:p>
        </w:tc>
      </w:tr>
    </w:tbl>
    <w:p w:rsidR="00790E89" w:rsidRPr="003F5C61" w:rsidRDefault="00790E89" w:rsidP="00790E89">
      <w:pPr>
        <w:spacing w:after="0" w:line="240" w:lineRule="auto"/>
      </w:pPr>
    </w:p>
    <w:p w:rsidR="00790E89" w:rsidRDefault="00790E89" w:rsidP="00790E89"/>
    <w:p w:rsidR="009F4DFC" w:rsidRDefault="009F4DFC" w:rsidP="004C3ADE">
      <w:pPr>
        <w:spacing w:after="0" w:line="240" w:lineRule="auto"/>
      </w:pPr>
    </w:p>
    <w:p w:rsidR="00674C8E" w:rsidRDefault="00674C8E" w:rsidP="004C3ADE">
      <w:pPr>
        <w:spacing w:after="0" w:line="240" w:lineRule="auto"/>
      </w:pPr>
    </w:p>
    <w:p w:rsidR="00DB1CA3" w:rsidRDefault="00DB1CA3" w:rsidP="004C3ADE">
      <w:pPr>
        <w:spacing w:after="0" w:line="240" w:lineRule="auto"/>
      </w:pPr>
    </w:p>
    <w:p w:rsidR="00DB1CA3" w:rsidRDefault="00DB1CA3" w:rsidP="004C3ADE">
      <w:pPr>
        <w:spacing w:after="0" w:line="240" w:lineRule="auto"/>
      </w:pPr>
    </w:p>
    <w:p w:rsidR="005B4FD6" w:rsidRDefault="005B4FD6" w:rsidP="004C3ADE">
      <w:pPr>
        <w:spacing w:after="0" w:line="240" w:lineRule="auto"/>
      </w:pPr>
    </w:p>
    <w:p w:rsidR="009F6344" w:rsidRDefault="009F6344" w:rsidP="004C3ADE">
      <w:pPr>
        <w:spacing w:after="0" w:line="240" w:lineRule="auto"/>
      </w:pPr>
    </w:p>
    <w:p w:rsidR="00CE43E0" w:rsidRDefault="00CE43E0" w:rsidP="004C3ADE">
      <w:pPr>
        <w:spacing w:after="0" w:line="240" w:lineRule="auto"/>
      </w:pPr>
    </w:p>
    <w:sectPr w:rsidR="00CE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73"/>
    <w:multiLevelType w:val="hybridMultilevel"/>
    <w:tmpl w:val="2EC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D51"/>
    <w:multiLevelType w:val="hybridMultilevel"/>
    <w:tmpl w:val="5E3CA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B2824"/>
    <w:multiLevelType w:val="hybridMultilevel"/>
    <w:tmpl w:val="556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003A1"/>
    <w:rsid w:val="00004A46"/>
    <w:rsid w:val="0000666C"/>
    <w:rsid w:val="0000763C"/>
    <w:rsid w:val="000079C5"/>
    <w:rsid w:val="00013422"/>
    <w:rsid w:val="000217E9"/>
    <w:rsid w:val="000240F1"/>
    <w:rsid w:val="00024A3D"/>
    <w:rsid w:val="000318DB"/>
    <w:rsid w:val="00031AE3"/>
    <w:rsid w:val="00036F78"/>
    <w:rsid w:val="00040794"/>
    <w:rsid w:val="0004348D"/>
    <w:rsid w:val="00043A4E"/>
    <w:rsid w:val="0004458E"/>
    <w:rsid w:val="000455EF"/>
    <w:rsid w:val="0005496A"/>
    <w:rsid w:val="00057C07"/>
    <w:rsid w:val="00061E42"/>
    <w:rsid w:val="00063FAF"/>
    <w:rsid w:val="0007069D"/>
    <w:rsid w:val="00081C20"/>
    <w:rsid w:val="00084FE5"/>
    <w:rsid w:val="000921C8"/>
    <w:rsid w:val="00095DAE"/>
    <w:rsid w:val="000960FD"/>
    <w:rsid w:val="000A2388"/>
    <w:rsid w:val="000A5DDD"/>
    <w:rsid w:val="000A6188"/>
    <w:rsid w:val="000C32D4"/>
    <w:rsid w:val="000C4642"/>
    <w:rsid w:val="000D021E"/>
    <w:rsid w:val="000D1487"/>
    <w:rsid w:val="000D28F3"/>
    <w:rsid w:val="000E0B7B"/>
    <w:rsid w:val="000F1925"/>
    <w:rsid w:val="000F3F14"/>
    <w:rsid w:val="00101BDE"/>
    <w:rsid w:val="00104ED5"/>
    <w:rsid w:val="00117ABD"/>
    <w:rsid w:val="00121F99"/>
    <w:rsid w:val="00122A05"/>
    <w:rsid w:val="00126FBD"/>
    <w:rsid w:val="00127A78"/>
    <w:rsid w:val="00133E46"/>
    <w:rsid w:val="00135A3E"/>
    <w:rsid w:val="00136974"/>
    <w:rsid w:val="0014052A"/>
    <w:rsid w:val="00155052"/>
    <w:rsid w:val="0018120A"/>
    <w:rsid w:val="00183F59"/>
    <w:rsid w:val="001843CA"/>
    <w:rsid w:val="00185278"/>
    <w:rsid w:val="00191334"/>
    <w:rsid w:val="00191769"/>
    <w:rsid w:val="00195D2E"/>
    <w:rsid w:val="001A383C"/>
    <w:rsid w:val="001A3DA1"/>
    <w:rsid w:val="001C19D8"/>
    <w:rsid w:val="001D3D05"/>
    <w:rsid w:val="001E077F"/>
    <w:rsid w:val="001E0D95"/>
    <w:rsid w:val="001E25B5"/>
    <w:rsid w:val="001F3A41"/>
    <w:rsid w:val="00201C7C"/>
    <w:rsid w:val="00211ACB"/>
    <w:rsid w:val="002135D0"/>
    <w:rsid w:val="00217C33"/>
    <w:rsid w:val="00227AAF"/>
    <w:rsid w:val="00233387"/>
    <w:rsid w:val="00236F9F"/>
    <w:rsid w:val="0024495D"/>
    <w:rsid w:val="00244B52"/>
    <w:rsid w:val="00245722"/>
    <w:rsid w:val="00246387"/>
    <w:rsid w:val="00247160"/>
    <w:rsid w:val="00250A71"/>
    <w:rsid w:val="00270405"/>
    <w:rsid w:val="00272945"/>
    <w:rsid w:val="00272FED"/>
    <w:rsid w:val="002822DA"/>
    <w:rsid w:val="00286715"/>
    <w:rsid w:val="00286784"/>
    <w:rsid w:val="00296975"/>
    <w:rsid w:val="002A34DB"/>
    <w:rsid w:val="002B7812"/>
    <w:rsid w:val="002C0BC8"/>
    <w:rsid w:val="002C2618"/>
    <w:rsid w:val="002C4662"/>
    <w:rsid w:val="002C7608"/>
    <w:rsid w:val="002E028C"/>
    <w:rsid w:val="002E63ED"/>
    <w:rsid w:val="002F015D"/>
    <w:rsid w:val="002F2A5A"/>
    <w:rsid w:val="002F4A6F"/>
    <w:rsid w:val="0031584C"/>
    <w:rsid w:val="00315B3D"/>
    <w:rsid w:val="00321A81"/>
    <w:rsid w:val="003245CA"/>
    <w:rsid w:val="003322E1"/>
    <w:rsid w:val="00334999"/>
    <w:rsid w:val="0034353A"/>
    <w:rsid w:val="00343C08"/>
    <w:rsid w:val="003506DE"/>
    <w:rsid w:val="00371E3E"/>
    <w:rsid w:val="003873B0"/>
    <w:rsid w:val="00387CB1"/>
    <w:rsid w:val="00393D27"/>
    <w:rsid w:val="003958EF"/>
    <w:rsid w:val="00396DB7"/>
    <w:rsid w:val="003A6BD8"/>
    <w:rsid w:val="003B0CCE"/>
    <w:rsid w:val="003B2201"/>
    <w:rsid w:val="003B3486"/>
    <w:rsid w:val="003B5DE9"/>
    <w:rsid w:val="003B75BD"/>
    <w:rsid w:val="003D0381"/>
    <w:rsid w:val="003D458C"/>
    <w:rsid w:val="003E7504"/>
    <w:rsid w:val="003F3976"/>
    <w:rsid w:val="003F61EA"/>
    <w:rsid w:val="003F7B12"/>
    <w:rsid w:val="00400948"/>
    <w:rsid w:val="004044E0"/>
    <w:rsid w:val="00405797"/>
    <w:rsid w:val="004143C2"/>
    <w:rsid w:val="00416B67"/>
    <w:rsid w:val="004173D7"/>
    <w:rsid w:val="00420996"/>
    <w:rsid w:val="00422B7C"/>
    <w:rsid w:val="004304FD"/>
    <w:rsid w:val="00430F84"/>
    <w:rsid w:val="004544A6"/>
    <w:rsid w:val="004555DB"/>
    <w:rsid w:val="00460954"/>
    <w:rsid w:val="00475B02"/>
    <w:rsid w:val="004829F2"/>
    <w:rsid w:val="00483DFD"/>
    <w:rsid w:val="004878CB"/>
    <w:rsid w:val="00493FBB"/>
    <w:rsid w:val="00496AC6"/>
    <w:rsid w:val="004A2B8B"/>
    <w:rsid w:val="004B3046"/>
    <w:rsid w:val="004B3C1E"/>
    <w:rsid w:val="004C0B71"/>
    <w:rsid w:val="004C3ADE"/>
    <w:rsid w:val="004D121E"/>
    <w:rsid w:val="004D390A"/>
    <w:rsid w:val="004D3CCB"/>
    <w:rsid w:val="004D72CF"/>
    <w:rsid w:val="004D7458"/>
    <w:rsid w:val="004F50ED"/>
    <w:rsid w:val="004F5BC6"/>
    <w:rsid w:val="004F7016"/>
    <w:rsid w:val="0050009A"/>
    <w:rsid w:val="00502C53"/>
    <w:rsid w:val="00517BA7"/>
    <w:rsid w:val="00522C2D"/>
    <w:rsid w:val="00524689"/>
    <w:rsid w:val="005462E0"/>
    <w:rsid w:val="005517B0"/>
    <w:rsid w:val="00552C07"/>
    <w:rsid w:val="00552C3F"/>
    <w:rsid w:val="005544DD"/>
    <w:rsid w:val="005552B8"/>
    <w:rsid w:val="0055697C"/>
    <w:rsid w:val="00563CF2"/>
    <w:rsid w:val="00573B3E"/>
    <w:rsid w:val="00574AF6"/>
    <w:rsid w:val="00575C60"/>
    <w:rsid w:val="00577112"/>
    <w:rsid w:val="0057792E"/>
    <w:rsid w:val="0058145C"/>
    <w:rsid w:val="005970EB"/>
    <w:rsid w:val="005B1890"/>
    <w:rsid w:val="005B19FF"/>
    <w:rsid w:val="005B4FD6"/>
    <w:rsid w:val="005B57A0"/>
    <w:rsid w:val="005B724E"/>
    <w:rsid w:val="005D05EF"/>
    <w:rsid w:val="005D23ED"/>
    <w:rsid w:val="005E7BF8"/>
    <w:rsid w:val="005F246F"/>
    <w:rsid w:val="005F564F"/>
    <w:rsid w:val="00601501"/>
    <w:rsid w:val="006108B5"/>
    <w:rsid w:val="00613CBF"/>
    <w:rsid w:val="006147AC"/>
    <w:rsid w:val="00615FA7"/>
    <w:rsid w:val="00617C1D"/>
    <w:rsid w:val="00623AA8"/>
    <w:rsid w:val="00626F34"/>
    <w:rsid w:val="006271F7"/>
    <w:rsid w:val="00631188"/>
    <w:rsid w:val="00636E5F"/>
    <w:rsid w:val="00642A09"/>
    <w:rsid w:val="00645598"/>
    <w:rsid w:val="00664D5F"/>
    <w:rsid w:val="0066699D"/>
    <w:rsid w:val="00673B64"/>
    <w:rsid w:val="00674C8E"/>
    <w:rsid w:val="00675870"/>
    <w:rsid w:val="006764CC"/>
    <w:rsid w:val="00680DA7"/>
    <w:rsid w:val="00682259"/>
    <w:rsid w:val="0068427C"/>
    <w:rsid w:val="00686E4D"/>
    <w:rsid w:val="00697078"/>
    <w:rsid w:val="006A102A"/>
    <w:rsid w:val="006A4222"/>
    <w:rsid w:val="006C047E"/>
    <w:rsid w:val="006C6D5E"/>
    <w:rsid w:val="006D0B4D"/>
    <w:rsid w:val="006D65F5"/>
    <w:rsid w:val="006F2927"/>
    <w:rsid w:val="00704432"/>
    <w:rsid w:val="0072008E"/>
    <w:rsid w:val="00730AC0"/>
    <w:rsid w:val="00744009"/>
    <w:rsid w:val="007546E9"/>
    <w:rsid w:val="00771513"/>
    <w:rsid w:val="00771C3D"/>
    <w:rsid w:val="00771F1D"/>
    <w:rsid w:val="00772546"/>
    <w:rsid w:val="00773F85"/>
    <w:rsid w:val="00780C64"/>
    <w:rsid w:val="007816EF"/>
    <w:rsid w:val="00790E89"/>
    <w:rsid w:val="007A341F"/>
    <w:rsid w:val="007B342B"/>
    <w:rsid w:val="007E374E"/>
    <w:rsid w:val="007E6753"/>
    <w:rsid w:val="007F3707"/>
    <w:rsid w:val="00804B57"/>
    <w:rsid w:val="0081107C"/>
    <w:rsid w:val="008118E5"/>
    <w:rsid w:val="00812F04"/>
    <w:rsid w:val="00814B8F"/>
    <w:rsid w:val="00823AF5"/>
    <w:rsid w:val="0082756D"/>
    <w:rsid w:val="008318FA"/>
    <w:rsid w:val="00834D93"/>
    <w:rsid w:val="00840304"/>
    <w:rsid w:val="0084172B"/>
    <w:rsid w:val="00845AE9"/>
    <w:rsid w:val="00850967"/>
    <w:rsid w:val="00853AF1"/>
    <w:rsid w:val="00853DE2"/>
    <w:rsid w:val="00853E81"/>
    <w:rsid w:val="0085652E"/>
    <w:rsid w:val="00861D94"/>
    <w:rsid w:val="00862D14"/>
    <w:rsid w:val="00871B7E"/>
    <w:rsid w:val="008947F5"/>
    <w:rsid w:val="008A12E2"/>
    <w:rsid w:val="008A2011"/>
    <w:rsid w:val="008B1139"/>
    <w:rsid w:val="008B22C4"/>
    <w:rsid w:val="008B57D6"/>
    <w:rsid w:val="008C2368"/>
    <w:rsid w:val="008C4991"/>
    <w:rsid w:val="008D1843"/>
    <w:rsid w:val="008D525A"/>
    <w:rsid w:val="008E1781"/>
    <w:rsid w:val="008E3EB7"/>
    <w:rsid w:val="008E5FD1"/>
    <w:rsid w:val="008F0DF0"/>
    <w:rsid w:val="008F2DA3"/>
    <w:rsid w:val="008F3D7D"/>
    <w:rsid w:val="008F63D7"/>
    <w:rsid w:val="0090439A"/>
    <w:rsid w:val="00912244"/>
    <w:rsid w:val="009123B8"/>
    <w:rsid w:val="00926A89"/>
    <w:rsid w:val="009505AF"/>
    <w:rsid w:val="00960B37"/>
    <w:rsid w:val="00961545"/>
    <w:rsid w:val="00965976"/>
    <w:rsid w:val="0097113E"/>
    <w:rsid w:val="00972B7E"/>
    <w:rsid w:val="00980762"/>
    <w:rsid w:val="009823E9"/>
    <w:rsid w:val="009952EE"/>
    <w:rsid w:val="009954FE"/>
    <w:rsid w:val="00995F45"/>
    <w:rsid w:val="00996EB2"/>
    <w:rsid w:val="009B3274"/>
    <w:rsid w:val="009C1125"/>
    <w:rsid w:val="009D2417"/>
    <w:rsid w:val="009E38E2"/>
    <w:rsid w:val="009F0618"/>
    <w:rsid w:val="009F4DFC"/>
    <w:rsid w:val="009F6344"/>
    <w:rsid w:val="009F7495"/>
    <w:rsid w:val="00A06306"/>
    <w:rsid w:val="00A06F4B"/>
    <w:rsid w:val="00A105A7"/>
    <w:rsid w:val="00A10FDB"/>
    <w:rsid w:val="00A149DE"/>
    <w:rsid w:val="00A20B25"/>
    <w:rsid w:val="00A21244"/>
    <w:rsid w:val="00A22680"/>
    <w:rsid w:val="00A30337"/>
    <w:rsid w:val="00A41DC0"/>
    <w:rsid w:val="00A43922"/>
    <w:rsid w:val="00A44913"/>
    <w:rsid w:val="00A45CD9"/>
    <w:rsid w:val="00A50361"/>
    <w:rsid w:val="00A56E56"/>
    <w:rsid w:val="00A7167B"/>
    <w:rsid w:val="00A7233A"/>
    <w:rsid w:val="00A74DF4"/>
    <w:rsid w:val="00A835B8"/>
    <w:rsid w:val="00A908AE"/>
    <w:rsid w:val="00AA0CDF"/>
    <w:rsid w:val="00AA3E3B"/>
    <w:rsid w:val="00AA623B"/>
    <w:rsid w:val="00AB6DEE"/>
    <w:rsid w:val="00AC7F0D"/>
    <w:rsid w:val="00AD2A3E"/>
    <w:rsid w:val="00AD2F38"/>
    <w:rsid w:val="00AE06F5"/>
    <w:rsid w:val="00AE27EF"/>
    <w:rsid w:val="00AE6D29"/>
    <w:rsid w:val="00AF2DD3"/>
    <w:rsid w:val="00AF3A92"/>
    <w:rsid w:val="00AF566D"/>
    <w:rsid w:val="00AF79B5"/>
    <w:rsid w:val="00AF7CAB"/>
    <w:rsid w:val="00B045C9"/>
    <w:rsid w:val="00B1346C"/>
    <w:rsid w:val="00B14A63"/>
    <w:rsid w:val="00B2352D"/>
    <w:rsid w:val="00B26183"/>
    <w:rsid w:val="00B26433"/>
    <w:rsid w:val="00B26B36"/>
    <w:rsid w:val="00B27170"/>
    <w:rsid w:val="00B27191"/>
    <w:rsid w:val="00B30871"/>
    <w:rsid w:val="00B43C5C"/>
    <w:rsid w:val="00B45A18"/>
    <w:rsid w:val="00B55D93"/>
    <w:rsid w:val="00B64A57"/>
    <w:rsid w:val="00B67EC8"/>
    <w:rsid w:val="00B73710"/>
    <w:rsid w:val="00B76D61"/>
    <w:rsid w:val="00B76DA9"/>
    <w:rsid w:val="00B807B2"/>
    <w:rsid w:val="00B85822"/>
    <w:rsid w:val="00B87CC7"/>
    <w:rsid w:val="00B91F9A"/>
    <w:rsid w:val="00B925E5"/>
    <w:rsid w:val="00BA0EF9"/>
    <w:rsid w:val="00BA430C"/>
    <w:rsid w:val="00BB2226"/>
    <w:rsid w:val="00BB7722"/>
    <w:rsid w:val="00BC05E2"/>
    <w:rsid w:val="00BC11E4"/>
    <w:rsid w:val="00BC5BB5"/>
    <w:rsid w:val="00BC6494"/>
    <w:rsid w:val="00BD1022"/>
    <w:rsid w:val="00BD73BA"/>
    <w:rsid w:val="00BE54C5"/>
    <w:rsid w:val="00BE6CD5"/>
    <w:rsid w:val="00BF04FE"/>
    <w:rsid w:val="00BF192F"/>
    <w:rsid w:val="00BF74D4"/>
    <w:rsid w:val="00BF7DD8"/>
    <w:rsid w:val="00C0252D"/>
    <w:rsid w:val="00C03CD4"/>
    <w:rsid w:val="00C04ACD"/>
    <w:rsid w:val="00C12B5A"/>
    <w:rsid w:val="00C160F5"/>
    <w:rsid w:val="00C30902"/>
    <w:rsid w:val="00C31A8E"/>
    <w:rsid w:val="00C37741"/>
    <w:rsid w:val="00C465BB"/>
    <w:rsid w:val="00C472F6"/>
    <w:rsid w:val="00C63E27"/>
    <w:rsid w:val="00C74709"/>
    <w:rsid w:val="00C750F3"/>
    <w:rsid w:val="00C86662"/>
    <w:rsid w:val="00CA69CE"/>
    <w:rsid w:val="00CB2C38"/>
    <w:rsid w:val="00CC28EA"/>
    <w:rsid w:val="00CC643E"/>
    <w:rsid w:val="00CD7DB1"/>
    <w:rsid w:val="00CE2835"/>
    <w:rsid w:val="00CE2992"/>
    <w:rsid w:val="00CE43E0"/>
    <w:rsid w:val="00CE5F4B"/>
    <w:rsid w:val="00CE6165"/>
    <w:rsid w:val="00CF040E"/>
    <w:rsid w:val="00D02519"/>
    <w:rsid w:val="00D1040B"/>
    <w:rsid w:val="00D115F6"/>
    <w:rsid w:val="00D120F8"/>
    <w:rsid w:val="00D1683D"/>
    <w:rsid w:val="00D239C8"/>
    <w:rsid w:val="00D30834"/>
    <w:rsid w:val="00D30F9F"/>
    <w:rsid w:val="00D3203F"/>
    <w:rsid w:val="00D46D56"/>
    <w:rsid w:val="00D500E4"/>
    <w:rsid w:val="00D51FF2"/>
    <w:rsid w:val="00D64010"/>
    <w:rsid w:val="00D64BF2"/>
    <w:rsid w:val="00D85B46"/>
    <w:rsid w:val="00D85E7E"/>
    <w:rsid w:val="00DB1338"/>
    <w:rsid w:val="00DB1CA3"/>
    <w:rsid w:val="00DB350F"/>
    <w:rsid w:val="00DB3D18"/>
    <w:rsid w:val="00DB6103"/>
    <w:rsid w:val="00DC104D"/>
    <w:rsid w:val="00DC48E6"/>
    <w:rsid w:val="00DC4F98"/>
    <w:rsid w:val="00DD1E84"/>
    <w:rsid w:val="00DE6C1D"/>
    <w:rsid w:val="00DF1DEF"/>
    <w:rsid w:val="00DF226C"/>
    <w:rsid w:val="00DF4340"/>
    <w:rsid w:val="00E04238"/>
    <w:rsid w:val="00E05767"/>
    <w:rsid w:val="00E06157"/>
    <w:rsid w:val="00E0718D"/>
    <w:rsid w:val="00E12315"/>
    <w:rsid w:val="00E13185"/>
    <w:rsid w:val="00E157E4"/>
    <w:rsid w:val="00E212EF"/>
    <w:rsid w:val="00E21A9C"/>
    <w:rsid w:val="00E22568"/>
    <w:rsid w:val="00E32E3B"/>
    <w:rsid w:val="00E42AD6"/>
    <w:rsid w:val="00E44575"/>
    <w:rsid w:val="00E45C37"/>
    <w:rsid w:val="00E474A9"/>
    <w:rsid w:val="00E5526E"/>
    <w:rsid w:val="00E61374"/>
    <w:rsid w:val="00E67C83"/>
    <w:rsid w:val="00E715E5"/>
    <w:rsid w:val="00E73C4C"/>
    <w:rsid w:val="00E84045"/>
    <w:rsid w:val="00E84353"/>
    <w:rsid w:val="00E87E97"/>
    <w:rsid w:val="00E91145"/>
    <w:rsid w:val="00E940C9"/>
    <w:rsid w:val="00E95F05"/>
    <w:rsid w:val="00EA0AF4"/>
    <w:rsid w:val="00EA240D"/>
    <w:rsid w:val="00EA4B17"/>
    <w:rsid w:val="00EC2543"/>
    <w:rsid w:val="00EC5F5E"/>
    <w:rsid w:val="00ED0420"/>
    <w:rsid w:val="00ED0DFC"/>
    <w:rsid w:val="00EF43C5"/>
    <w:rsid w:val="00F014BA"/>
    <w:rsid w:val="00F117BE"/>
    <w:rsid w:val="00F33A61"/>
    <w:rsid w:val="00F36A1F"/>
    <w:rsid w:val="00F44144"/>
    <w:rsid w:val="00F441B6"/>
    <w:rsid w:val="00F449F2"/>
    <w:rsid w:val="00F47666"/>
    <w:rsid w:val="00F52605"/>
    <w:rsid w:val="00F53EDA"/>
    <w:rsid w:val="00F56237"/>
    <w:rsid w:val="00F64BE0"/>
    <w:rsid w:val="00F65124"/>
    <w:rsid w:val="00F677BB"/>
    <w:rsid w:val="00F71638"/>
    <w:rsid w:val="00F71EA0"/>
    <w:rsid w:val="00F720BC"/>
    <w:rsid w:val="00F74C6F"/>
    <w:rsid w:val="00F771E8"/>
    <w:rsid w:val="00F81082"/>
    <w:rsid w:val="00F83051"/>
    <w:rsid w:val="00F91F80"/>
    <w:rsid w:val="00F93928"/>
    <w:rsid w:val="00F94191"/>
    <w:rsid w:val="00F94BCF"/>
    <w:rsid w:val="00F974F3"/>
    <w:rsid w:val="00F97BFC"/>
    <w:rsid w:val="00FA5BB1"/>
    <w:rsid w:val="00FD1C42"/>
    <w:rsid w:val="00FD3069"/>
    <w:rsid w:val="00FD3303"/>
    <w:rsid w:val="00FD4FFC"/>
    <w:rsid w:val="00FE1AF9"/>
    <w:rsid w:val="00FF4677"/>
    <w:rsid w:val="00FF5A94"/>
    <w:rsid w:val="00FF623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539</cp:revision>
  <dcterms:created xsi:type="dcterms:W3CDTF">2012-10-09T18:01:00Z</dcterms:created>
  <dcterms:modified xsi:type="dcterms:W3CDTF">2013-03-12T19:41:00Z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-984328728</vt:i4>
  </property>
  <property fmtid="{D5CDD505-2E9C-101B-9397-08002B2CF9AE}" pid="3" name="_NewReviewCycle">
    <vt:lpwstr/>
  </property>
  <property fmtid="{D5CDD505-2E9C-101B-9397-08002B2CF9AE}" pid="4" name="_EmailSubject">
    <vt:lpwstr>RF Spectrum Ad Hoc 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