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44" w:rsidRPr="00EA4B17" w:rsidRDefault="00EA4D4D" w:rsidP="00F91F80">
      <w:pPr>
        <w:spacing w:after="0" w:line="240" w:lineRule="auto"/>
        <w:rPr>
          <w:b/>
        </w:rPr>
      </w:pPr>
      <w:bookmarkStart w:id="0" w:name="_GoBack"/>
      <w:bookmarkEnd w:id="0"/>
      <w:r>
        <w:rPr>
          <w:b/>
        </w:rPr>
        <w:t>Evaluation Criteria and Requirements</w:t>
      </w:r>
      <w:r w:rsidR="00617C1D">
        <w:rPr>
          <w:b/>
        </w:rPr>
        <w:t xml:space="preserve"> Ad Hoc </w:t>
      </w:r>
      <w:r w:rsidR="00CD7DB1">
        <w:rPr>
          <w:b/>
        </w:rPr>
        <w:t xml:space="preserve">– </w:t>
      </w:r>
      <w:r w:rsidR="00B17D79">
        <w:rPr>
          <w:b/>
        </w:rPr>
        <w:t xml:space="preserve">Minutes </w:t>
      </w:r>
      <w:r w:rsidR="002379DF">
        <w:rPr>
          <w:b/>
        </w:rPr>
        <w:t xml:space="preserve">Jan </w:t>
      </w:r>
      <w:r w:rsidR="00D47DD4">
        <w:rPr>
          <w:b/>
        </w:rPr>
        <w:t>16</w:t>
      </w:r>
      <w:r w:rsidR="00CD7DB1">
        <w:rPr>
          <w:b/>
        </w:rPr>
        <w:t>,</w:t>
      </w:r>
      <w:r w:rsidR="002379DF">
        <w:rPr>
          <w:b/>
        </w:rPr>
        <w:t xml:space="preserve"> 2013</w:t>
      </w:r>
    </w:p>
    <w:p w:rsidR="00F91F80" w:rsidRDefault="00F91F80" w:rsidP="00F91F80">
      <w:pPr>
        <w:spacing w:after="0" w:line="240" w:lineRule="auto"/>
      </w:pPr>
    </w:p>
    <w:p w:rsidR="00F91F80" w:rsidRDefault="00CD7DB1" w:rsidP="00CD7DB1">
      <w:pPr>
        <w:spacing w:after="0" w:line="240" w:lineRule="auto"/>
      </w:pPr>
      <w:r>
        <w:t>Provided</w:t>
      </w:r>
      <w:r w:rsidR="00F91F80">
        <w:t xml:space="preserve"> IEEE-SA Patent Policy</w:t>
      </w:r>
      <w:r>
        <w:t>.</w:t>
      </w:r>
    </w:p>
    <w:p w:rsidR="00F91F80" w:rsidRDefault="00F91F80" w:rsidP="00CD7DB1">
      <w:pPr>
        <w:pStyle w:val="ListParagraph"/>
        <w:numPr>
          <w:ilvl w:val="0"/>
          <w:numId w:val="1"/>
        </w:numPr>
        <w:spacing w:after="0" w:line="240" w:lineRule="auto"/>
      </w:pPr>
      <w:r>
        <w:t xml:space="preserve">https://development.standards.ieee.org/myproject/Public/mytools/mob/slideset.pdf </w:t>
      </w:r>
    </w:p>
    <w:p w:rsidR="001C19D8" w:rsidRDefault="001C19D8" w:rsidP="00F91F80">
      <w:pPr>
        <w:spacing w:after="0" w:line="240" w:lineRule="auto"/>
      </w:pPr>
    </w:p>
    <w:p w:rsidR="00EA4D4D" w:rsidRDefault="000E1655" w:rsidP="00F91F80">
      <w:pPr>
        <w:spacing w:after="0" w:line="240" w:lineRule="auto"/>
      </w:pPr>
      <w:r>
        <w:t>Everyone</w:t>
      </w:r>
      <w:r w:rsidR="00966846">
        <w:t xml:space="preserve"> </w:t>
      </w:r>
      <w:r w:rsidR="00F36347">
        <w:t xml:space="preserve">on the call </w:t>
      </w:r>
      <w:r w:rsidR="008F3C12">
        <w:t>was</w:t>
      </w:r>
      <w:r>
        <w:t xml:space="preserve"> familiar with </w:t>
      </w:r>
      <w:r w:rsidR="00F36347">
        <w:t xml:space="preserve">the </w:t>
      </w:r>
      <w:r>
        <w:t>IEEE patent policy</w:t>
      </w:r>
      <w:r w:rsidR="00966846">
        <w:t>.</w:t>
      </w:r>
    </w:p>
    <w:p w:rsidR="000D3158" w:rsidRDefault="000D3158" w:rsidP="007F1C93">
      <w:pPr>
        <w:spacing w:after="0" w:line="240" w:lineRule="auto"/>
      </w:pPr>
    </w:p>
    <w:p w:rsidR="00771D53" w:rsidRDefault="00391A9D" w:rsidP="007F1C93">
      <w:pPr>
        <w:spacing w:after="0" w:line="240" w:lineRule="auto"/>
      </w:pPr>
      <w:r>
        <w:t>Discussed</w:t>
      </w:r>
      <w:r w:rsidR="00887551">
        <w:t xml:space="preserve"> the throughput requirement of 1.6 Gb/s in 192 MHz, under baseline channel conditions.</w:t>
      </w:r>
    </w:p>
    <w:p w:rsidR="00887551" w:rsidRDefault="00887551" w:rsidP="007F1C93">
      <w:pPr>
        <w:spacing w:after="0" w:line="240" w:lineRule="auto"/>
      </w:pPr>
    </w:p>
    <w:p w:rsidR="00887551" w:rsidRDefault="00887551" w:rsidP="007F1C93">
      <w:pPr>
        <w:spacing w:after="0" w:line="240" w:lineRule="auto"/>
      </w:pPr>
      <w:r>
        <w:t xml:space="preserve">Deleted “at least” as follows, </w:t>
      </w:r>
    </w:p>
    <w:p w:rsidR="00887551" w:rsidRDefault="00887551" w:rsidP="007F1C93">
      <w:pPr>
        <w:spacing w:after="0" w:line="240" w:lineRule="auto"/>
      </w:pPr>
      <w:r w:rsidRPr="00887551">
        <w:t xml:space="preserve">The standard shall support a downstream data rate of </w:t>
      </w:r>
      <w:r w:rsidRPr="00887551">
        <w:rPr>
          <w:strike/>
        </w:rPr>
        <w:t>at least</w:t>
      </w:r>
      <w:r w:rsidRPr="00887551">
        <w:t xml:space="preserve"> 1.6 Gb/s at the MAC/PLS service interface, in a 192-MHz OFDM channel, in baseline channel conditions</w:t>
      </w:r>
      <w:r>
        <w:t>.</w:t>
      </w:r>
    </w:p>
    <w:p w:rsidR="00887551" w:rsidRDefault="00887551" w:rsidP="007F1C93">
      <w:pPr>
        <w:spacing w:after="0" w:line="240" w:lineRule="auto"/>
      </w:pPr>
    </w:p>
    <w:p w:rsidR="00887551" w:rsidRDefault="00887551" w:rsidP="007F1C93">
      <w:pPr>
        <w:spacing w:after="0" w:line="240" w:lineRule="auto"/>
      </w:pPr>
      <w:r>
        <w:t xml:space="preserve">We will bring this to the Task Force once the baseline channel conditions are specified. It was pointed out that baseline channel conditions will likely be </w:t>
      </w:r>
      <w:r w:rsidR="00391A9D">
        <w:t>specified</w:t>
      </w:r>
      <w:r>
        <w:t xml:space="preserve"> for downstream next week, while upstream baseline channel conditions will be specified later.</w:t>
      </w:r>
    </w:p>
    <w:p w:rsidR="00887551" w:rsidRDefault="00887551" w:rsidP="007F1C93">
      <w:pPr>
        <w:spacing w:after="0" w:line="240" w:lineRule="auto"/>
      </w:pPr>
    </w:p>
    <w:p w:rsidR="00887551" w:rsidRDefault="00887551" w:rsidP="007F1C93">
      <w:pPr>
        <w:spacing w:after="0" w:line="240" w:lineRule="auto"/>
      </w:pPr>
      <w:r>
        <w:t xml:space="preserve"> </w:t>
      </w:r>
      <w:r w:rsidR="00094556">
        <w:t>We discussed whether the objective of 1 Gb/s in 120 MHz, would need to be modified.</w:t>
      </w:r>
    </w:p>
    <w:p w:rsidR="00094556" w:rsidRDefault="00094556" w:rsidP="007F1C93">
      <w:pPr>
        <w:spacing w:after="0" w:line="240" w:lineRule="auto"/>
      </w:pPr>
    </w:p>
    <w:p w:rsidR="00094556" w:rsidRDefault="00E47FC2" w:rsidP="007F1C93">
      <w:pPr>
        <w:spacing w:after="0" w:line="240" w:lineRule="auto"/>
      </w:pPr>
      <w:proofErr w:type="gramStart"/>
      <w:r>
        <w:t xml:space="preserve">Added a potential new requirement on frequency </w:t>
      </w:r>
      <w:r w:rsidR="00391A9D">
        <w:t>transfer</w:t>
      </w:r>
      <w:r>
        <w:t xml:space="preserve"> error for mobile backhaul applications.</w:t>
      </w:r>
      <w:proofErr w:type="gramEnd"/>
    </w:p>
    <w:p w:rsidR="00FC0343" w:rsidRDefault="00FC0343" w:rsidP="007F1C93">
      <w:pPr>
        <w:spacing w:after="0" w:line="240" w:lineRule="auto"/>
      </w:pPr>
    </w:p>
    <w:p w:rsidR="00FC0343" w:rsidRDefault="00FC0343" w:rsidP="007F1C93">
      <w:pPr>
        <w:spacing w:after="0" w:line="240" w:lineRule="auto"/>
      </w:pPr>
      <w:r w:rsidRPr="00FC0343">
        <w:t>Concerns were also voiced that these performance requirements are not PHY specific requirements, but system level requirements. If such a requirement does find its way into PHY spec, there is no way to verify it separately, i.e., nobody measures what part of the system level precision budget is consumed in PHY alone. Furthermore, EPON does support mobile backhaul services with *no* requirements of this type thrown into the PHY specs. Such a requirement might also overly burden devices that are not expected to carry mobile backhaul services. However, in the PHY spec it is not possible to distinguish one from another (there is just a PHY), given that 802.3 does not provide product specs. Such system level requirements should be brought forward to the group that deals with a system level design.</w:t>
      </w:r>
    </w:p>
    <w:p w:rsidR="00E47FC2" w:rsidRDefault="00E47FC2" w:rsidP="007F1C93">
      <w:pPr>
        <w:spacing w:after="0" w:line="240" w:lineRule="auto"/>
      </w:pPr>
    </w:p>
    <w:p w:rsidR="00923BC7" w:rsidRDefault="00923BC7" w:rsidP="00923BC7">
      <w:pPr>
        <w:spacing w:after="60" w:line="240" w:lineRule="auto"/>
        <w:rPr>
          <w:b/>
        </w:rPr>
      </w:pPr>
      <w:r>
        <w:rPr>
          <w:b/>
        </w:rPr>
        <w:t>Attendance List</w:t>
      </w:r>
    </w:p>
    <w:tbl>
      <w:tblPr>
        <w:tblStyle w:val="TableGrid"/>
        <w:tblW w:w="0" w:type="auto"/>
        <w:tblLook w:val="04A0" w:firstRow="1" w:lastRow="0" w:firstColumn="1" w:lastColumn="0" w:noHBand="0" w:noVBand="1"/>
      </w:tblPr>
      <w:tblGrid>
        <w:gridCol w:w="3438"/>
        <w:gridCol w:w="3780"/>
      </w:tblGrid>
      <w:tr w:rsidR="00923BC7" w:rsidTr="00C33588">
        <w:tc>
          <w:tcPr>
            <w:tcW w:w="3438" w:type="dxa"/>
            <w:tcBorders>
              <w:top w:val="single" w:sz="4" w:space="0" w:color="auto"/>
              <w:left w:val="single" w:sz="4" w:space="0" w:color="auto"/>
              <w:bottom w:val="single" w:sz="4" w:space="0" w:color="auto"/>
              <w:right w:val="single" w:sz="4" w:space="0" w:color="auto"/>
            </w:tcBorders>
            <w:hideMark/>
          </w:tcPr>
          <w:p w:rsidR="00923BC7" w:rsidRDefault="00923BC7" w:rsidP="00C33588">
            <w:pPr>
              <w:rPr>
                <w:b/>
              </w:rPr>
            </w:pPr>
            <w:r>
              <w:rPr>
                <w:b/>
              </w:rPr>
              <w:t>Person</w:t>
            </w:r>
          </w:p>
        </w:tc>
        <w:tc>
          <w:tcPr>
            <w:tcW w:w="3780" w:type="dxa"/>
            <w:tcBorders>
              <w:top w:val="single" w:sz="4" w:space="0" w:color="auto"/>
              <w:left w:val="single" w:sz="4" w:space="0" w:color="auto"/>
              <w:bottom w:val="single" w:sz="4" w:space="0" w:color="auto"/>
              <w:right w:val="single" w:sz="4" w:space="0" w:color="auto"/>
            </w:tcBorders>
            <w:hideMark/>
          </w:tcPr>
          <w:p w:rsidR="00923BC7" w:rsidRDefault="00923BC7" w:rsidP="00C33588">
            <w:pPr>
              <w:rPr>
                <w:b/>
              </w:rPr>
            </w:pPr>
            <w:r>
              <w:rPr>
                <w:b/>
              </w:rPr>
              <w:t>Affiliation</w:t>
            </w:r>
          </w:p>
        </w:tc>
      </w:tr>
      <w:tr w:rsidR="00923BC7" w:rsidRPr="00923BC7" w:rsidTr="00C33588">
        <w:tc>
          <w:tcPr>
            <w:tcW w:w="3438" w:type="dxa"/>
          </w:tcPr>
          <w:p w:rsidR="00923BC7" w:rsidRPr="00923BC7" w:rsidRDefault="00923BC7" w:rsidP="00C33588">
            <w:r w:rsidRPr="00923BC7">
              <w:t>Alan Brown</w:t>
            </w:r>
          </w:p>
        </w:tc>
        <w:tc>
          <w:tcPr>
            <w:tcW w:w="3780" w:type="dxa"/>
          </w:tcPr>
          <w:p w:rsidR="00923BC7" w:rsidRPr="00923BC7" w:rsidRDefault="00923BC7" w:rsidP="00C33588">
            <w:r w:rsidRPr="00923BC7">
              <w:t>Aurora</w:t>
            </w:r>
          </w:p>
        </w:tc>
      </w:tr>
      <w:tr w:rsidR="00923BC7" w:rsidRPr="00923BC7" w:rsidTr="00C33588">
        <w:tc>
          <w:tcPr>
            <w:tcW w:w="3438" w:type="dxa"/>
            <w:tcBorders>
              <w:top w:val="single" w:sz="4" w:space="0" w:color="auto"/>
              <w:left w:val="single" w:sz="4" w:space="0" w:color="auto"/>
              <w:bottom w:val="single" w:sz="4" w:space="0" w:color="auto"/>
              <w:right w:val="single" w:sz="4" w:space="0" w:color="auto"/>
            </w:tcBorders>
            <w:hideMark/>
          </w:tcPr>
          <w:p w:rsidR="00923BC7" w:rsidRPr="00923BC7" w:rsidRDefault="00923BC7" w:rsidP="00C33588">
            <w:r w:rsidRPr="00923BC7">
              <w:t>Marek Hajduczenia</w:t>
            </w:r>
          </w:p>
        </w:tc>
        <w:tc>
          <w:tcPr>
            <w:tcW w:w="3780" w:type="dxa"/>
            <w:tcBorders>
              <w:top w:val="single" w:sz="4" w:space="0" w:color="auto"/>
              <w:left w:val="single" w:sz="4" w:space="0" w:color="auto"/>
              <w:bottom w:val="single" w:sz="4" w:space="0" w:color="auto"/>
              <w:right w:val="single" w:sz="4" w:space="0" w:color="auto"/>
            </w:tcBorders>
            <w:hideMark/>
          </w:tcPr>
          <w:p w:rsidR="00923BC7" w:rsidRPr="00923BC7" w:rsidRDefault="00923BC7" w:rsidP="00C33588">
            <w:r w:rsidRPr="00923BC7">
              <w:t>ZTE</w:t>
            </w:r>
          </w:p>
        </w:tc>
      </w:tr>
      <w:tr w:rsidR="00923BC7" w:rsidRPr="00923BC7" w:rsidTr="00C33588">
        <w:tc>
          <w:tcPr>
            <w:tcW w:w="3438" w:type="dxa"/>
          </w:tcPr>
          <w:p w:rsidR="00923BC7" w:rsidRPr="00923BC7" w:rsidRDefault="00923BC7" w:rsidP="00C33588">
            <w:r w:rsidRPr="00923BC7">
              <w:t>George Hart</w:t>
            </w:r>
          </w:p>
        </w:tc>
        <w:tc>
          <w:tcPr>
            <w:tcW w:w="3780" w:type="dxa"/>
          </w:tcPr>
          <w:p w:rsidR="00923BC7" w:rsidRPr="00923BC7" w:rsidRDefault="00923BC7" w:rsidP="00C33588">
            <w:r w:rsidRPr="00923BC7">
              <w:t>Rogers</w:t>
            </w:r>
          </w:p>
        </w:tc>
      </w:tr>
      <w:tr w:rsidR="00923BC7" w:rsidRPr="00923BC7" w:rsidTr="00C33588">
        <w:tc>
          <w:tcPr>
            <w:tcW w:w="3438" w:type="dxa"/>
          </w:tcPr>
          <w:p w:rsidR="00923BC7" w:rsidRPr="00923BC7" w:rsidRDefault="00923BC7" w:rsidP="00C33588">
            <w:r w:rsidRPr="00923BC7">
              <w:t>Raanan Ivry</w:t>
            </w:r>
          </w:p>
        </w:tc>
        <w:tc>
          <w:tcPr>
            <w:tcW w:w="3780" w:type="dxa"/>
          </w:tcPr>
          <w:p w:rsidR="00923BC7" w:rsidRPr="00923BC7" w:rsidRDefault="00923BC7" w:rsidP="00C33588">
            <w:r w:rsidRPr="00923BC7">
              <w:t>WidePass</w:t>
            </w:r>
          </w:p>
        </w:tc>
      </w:tr>
      <w:tr w:rsidR="00923BC7" w:rsidRPr="00923BC7" w:rsidTr="00C33588">
        <w:tc>
          <w:tcPr>
            <w:tcW w:w="3438" w:type="dxa"/>
            <w:tcBorders>
              <w:top w:val="single" w:sz="4" w:space="0" w:color="auto"/>
              <w:left w:val="single" w:sz="4" w:space="0" w:color="auto"/>
              <w:bottom w:val="single" w:sz="4" w:space="0" w:color="auto"/>
              <w:right w:val="single" w:sz="4" w:space="0" w:color="auto"/>
            </w:tcBorders>
          </w:tcPr>
          <w:p w:rsidR="00923BC7" w:rsidRPr="00923BC7" w:rsidRDefault="00923BC7" w:rsidP="00C33588">
            <w:r w:rsidRPr="00923BC7">
              <w:t>Ramdane Krikeb</w:t>
            </w:r>
          </w:p>
        </w:tc>
        <w:tc>
          <w:tcPr>
            <w:tcW w:w="3780" w:type="dxa"/>
            <w:tcBorders>
              <w:top w:val="single" w:sz="4" w:space="0" w:color="auto"/>
              <w:left w:val="single" w:sz="4" w:space="0" w:color="auto"/>
              <w:bottom w:val="single" w:sz="4" w:space="0" w:color="auto"/>
              <w:right w:val="single" w:sz="4" w:space="0" w:color="auto"/>
            </w:tcBorders>
          </w:tcPr>
          <w:p w:rsidR="00923BC7" w:rsidRPr="00923BC7" w:rsidRDefault="00923BC7" w:rsidP="00C33588">
            <w:r w:rsidRPr="00923BC7">
              <w:t>Videotran</w:t>
            </w:r>
          </w:p>
        </w:tc>
      </w:tr>
      <w:tr w:rsidR="00923BC7" w:rsidRPr="00923BC7" w:rsidTr="00C33588">
        <w:tc>
          <w:tcPr>
            <w:tcW w:w="3438" w:type="dxa"/>
            <w:tcBorders>
              <w:top w:val="single" w:sz="4" w:space="0" w:color="auto"/>
              <w:left w:val="single" w:sz="4" w:space="0" w:color="auto"/>
              <w:bottom w:val="single" w:sz="4" w:space="0" w:color="auto"/>
              <w:right w:val="single" w:sz="4" w:space="0" w:color="auto"/>
            </w:tcBorders>
            <w:hideMark/>
          </w:tcPr>
          <w:p w:rsidR="00923BC7" w:rsidRPr="00923BC7" w:rsidRDefault="00923BC7" w:rsidP="00C33588">
            <w:r w:rsidRPr="00923BC7">
              <w:t>Leo Montreuil</w:t>
            </w:r>
          </w:p>
        </w:tc>
        <w:tc>
          <w:tcPr>
            <w:tcW w:w="3780" w:type="dxa"/>
            <w:tcBorders>
              <w:top w:val="single" w:sz="4" w:space="0" w:color="auto"/>
              <w:left w:val="single" w:sz="4" w:space="0" w:color="auto"/>
              <w:bottom w:val="single" w:sz="4" w:space="0" w:color="auto"/>
              <w:right w:val="single" w:sz="4" w:space="0" w:color="auto"/>
            </w:tcBorders>
            <w:hideMark/>
          </w:tcPr>
          <w:p w:rsidR="00923BC7" w:rsidRPr="00923BC7" w:rsidRDefault="00923BC7" w:rsidP="00C33588">
            <w:r w:rsidRPr="00923BC7">
              <w:t>Broadcom</w:t>
            </w:r>
          </w:p>
        </w:tc>
      </w:tr>
      <w:tr w:rsidR="00923BC7" w:rsidRPr="00923BC7" w:rsidTr="00C33588">
        <w:tc>
          <w:tcPr>
            <w:tcW w:w="3438" w:type="dxa"/>
            <w:tcBorders>
              <w:top w:val="single" w:sz="4" w:space="0" w:color="auto"/>
              <w:left w:val="single" w:sz="4" w:space="0" w:color="auto"/>
              <w:bottom w:val="single" w:sz="4" w:space="0" w:color="auto"/>
              <w:right w:val="single" w:sz="4" w:space="0" w:color="auto"/>
            </w:tcBorders>
            <w:hideMark/>
          </w:tcPr>
          <w:p w:rsidR="00923BC7" w:rsidRPr="00923BC7" w:rsidRDefault="00923BC7" w:rsidP="00C33588">
            <w:r w:rsidRPr="00923BC7">
              <w:t>Bill Powell</w:t>
            </w:r>
          </w:p>
        </w:tc>
        <w:tc>
          <w:tcPr>
            <w:tcW w:w="3780" w:type="dxa"/>
            <w:tcBorders>
              <w:top w:val="single" w:sz="4" w:space="0" w:color="auto"/>
              <w:left w:val="single" w:sz="4" w:space="0" w:color="auto"/>
              <w:bottom w:val="single" w:sz="4" w:space="0" w:color="auto"/>
              <w:right w:val="single" w:sz="4" w:space="0" w:color="auto"/>
            </w:tcBorders>
            <w:hideMark/>
          </w:tcPr>
          <w:p w:rsidR="00923BC7" w:rsidRPr="00923BC7" w:rsidRDefault="00923BC7" w:rsidP="00C33588">
            <w:r w:rsidRPr="00923BC7">
              <w:t>Alcatel Lucent</w:t>
            </w:r>
          </w:p>
        </w:tc>
      </w:tr>
      <w:tr w:rsidR="00923BC7" w:rsidRPr="00923BC7" w:rsidTr="00C33588">
        <w:tc>
          <w:tcPr>
            <w:tcW w:w="3438" w:type="dxa"/>
            <w:tcBorders>
              <w:top w:val="single" w:sz="4" w:space="0" w:color="auto"/>
              <w:left w:val="single" w:sz="4" w:space="0" w:color="auto"/>
              <w:bottom w:val="single" w:sz="4" w:space="0" w:color="auto"/>
              <w:right w:val="single" w:sz="4" w:space="0" w:color="auto"/>
            </w:tcBorders>
            <w:hideMark/>
          </w:tcPr>
          <w:p w:rsidR="00923BC7" w:rsidRPr="00923BC7" w:rsidRDefault="00923BC7" w:rsidP="00C33588">
            <w:r w:rsidRPr="00923BC7">
              <w:t>Duane Remein</w:t>
            </w:r>
          </w:p>
        </w:tc>
        <w:tc>
          <w:tcPr>
            <w:tcW w:w="3780" w:type="dxa"/>
            <w:tcBorders>
              <w:top w:val="single" w:sz="4" w:space="0" w:color="auto"/>
              <w:left w:val="single" w:sz="4" w:space="0" w:color="auto"/>
              <w:bottom w:val="single" w:sz="4" w:space="0" w:color="auto"/>
              <w:right w:val="single" w:sz="4" w:space="0" w:color="auto"/>
            </w:tcBorders>
            <w:hideMark/>
          </w:tcPr>
          <w:p w:rsidR="00923BC7" w:rsidRPr="00923BC7" w:rsidRDefault="00923BC7" w:rsidP="00C33588">
            <w:r w:rsidRPr="00923BC7">
              <w:t>Huawei</w:t>
            </w:r>
          </w:p>
        </w:tc>
      </w:tr>
      <w:tr w:rsidR="00923BC7" w:rsidRPr="00923BC7" w:rsidTr="00C33588">
        <w:tc>
          <w:tcPr>
            <w:tcW w:w="3438" w:type="dxa"/>
            <w:tcBorders>
              <w:top w:val="single" w:sz="4" w:space="0" w:color="auto"/>
              <w:left w:val="single" w:sz="4" w:space="0" w:color="auto"/>
              <w:bottom w:val="single" w:sz="4" w:space="0" w:color="auto"/>
              <w:right w:val="single" w:sz="4" w:space="0" w:color="auto"/>
            </w:tcBorders>
            <w:hideMark/>
          </w:tcPr>
          <w:p w:rsidR="00923BC7" w:rsidRPr="00923BC7" w:rsidRDefault="00923BC7" w:rsidP="00C33588">
            <w:r w:rsidRPr="00923BC7">
              <w:t>Steve Shellhammer</w:t>
            </w:r>
          </w:p>
        </w:tc>
        <w:tc>
          <w:tcPr>
            <w:tcW w:w="3780" w:type="dxa"/>
            <w:tcBorders>
              <w:top w:val="single" w:sz="4" w:space="0" w:color="auto"/>
              <w:left w:val="single" w:sz="4" w:space="0" w:color="auto"/>
              <w:bottom w:val="single" w:sz="4" w:space="0" w:color="auto"/>
              <w:right w:val="single" w:sz="4" w:space="0" w:color="auto"/>
            </w:tcBorders>
            <w:hideMark/>
          </w:tcPr>
          <w:p w:rsidR="00923BC7" w:rsidRPr="00923BC7" w:rsidRDefault="00923BC7" w:rsidP="00C33588">
            <w:r w:rsidRPr="00923BC7">
              <w:t>Qualcomm</w:t>
            </w:r>
          </w:p>
        </w:tc>
      </w:tr>
      <w:tr w:rsidR="00923BC7" w:rsidRPr="00923BC7" w:rsidTr="00C33588">
        <w:tc>
          <w:tcPr>
            <w:tcW w:w="3438" w:type="dxa"/>
          </w:tcPr>
          <w:p w:rsidR="00923BC7" w:rsidRPr="00923BC7" w:rsidRDefault="00923BC7" w:rsidP="00C33588">
            <w:r w:rsidRPr="00923BC7">
              <w:t>Peter Wolff</w:t>
            </w:r>
          </w:p>
        </w:tc>
        <w:tc>
          <w:tcPr>
            <w:tcW w:w="3780" w:type="dxa"/>
          </w:tcPr>
          <w:p w:rsidR="00923BC7" w:rsidRPr="00923BC7" w:rsidRDefault="00923BC7" w:rsidP="00C33588">
            <w:r w:rsidRPr="00923BC7">
              <w:t>Titan Photonics</w:t>
            </w:r>
          </w:p>
        </w:tc>
      </w:tr>
    </w:tbl>
    <w:p w:rsidR="00923BC7" w:rsidRPr="008D56ED" w:rsidRDefault="00923BC7" w:rsidP="00923BC7">
      <w:pPr>
        <w:spacing w:after="0" w:line="240" w:lineRule="auto"/>
      </w:pPr>
    </w:p>
    <w:p w:rsidR="00E47FC2" w:rsidRDefault="00E47FC2" w:rsidP="007F1C93">
      <w:pPr>
        <w:spacing w:after="0" w:line="240" w:lineRule="auto"/>
      </w:pPr>
    </w:p>
    <w:sectPr w:rsidR="00E47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2D"/>
    <w:multiLevelType w:val="hybridMultilevel"/>
    <w:tmpl w:val="787E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E6D51"/>
    <w:multiLevelType w:val="hybridMultilevel"/>
    <w:tmpl w:val="A280A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F5"/>
    <w:rsid w:val="00022F1D"/>
    <w:rsid w:val="000240F1"/>
    <w:rsid w:val="00026C5E"/>
    <w:rsid w:val="00045628"/>
    <w:rsid w:val="0005496A"/>
    <w:rsid w:val="0005711F"/>
    <w:rsid w:val="00064023"/>
    <w:rsid w:val="00067595"/>
    <w:rsid w:val="00076D35"/>
    <w:rsid w:val="00094556"/>
    <w:rsid w:val="000960FD"/>
    <w:rsid w:val="00097673"/>
    <w:rsid w:val="000B269A"/>
    <w:rsid w:val="000B7C21"/>
    <w:rsid w:val="000C27E4"/>
    <w:rsid w:val="000C4DD3"/>
    <w:rsid w:val="000D3158"/>
    <w:rsid w:val="000E1655"/>
    <w:rsid w:val="000F39D0"/>
    <w:rsid w:val="000F3F14"/>
    <w:rsid w:val="00100147"/>
    <w:rsid w:val="00101050"/>
    <w:rsid w:val="00102436"/>
    <w:rsid w:val="00113C6D"/>
    <w:rsid w:val="00122A05"/>
    <w:rsid w:val="00123972"/>
    <w:rsid w:val="00123AD0"/>
    <w:rsid w:val="00126749"/>
    <w:rsid w:val="00126A97"/>
    <w:rsid w:val="00131DC2"/>
    <w:rsid w:val="00135A3E"/>
    <w:rsid w:val="001552FC"/>
    <w:rsid w:val="00160DDA"/>
    <w:rsid w:val="00166BC7"/>
    <w:rsid w:val="001936C3"/>
    <w:rsid w:val="001C19D8"/>
    <w:rsid w:val="001D58B3"/>
    <w:rsid w:val="001F0392"/>
    <w:rsid w:val="001F3A41"/>
    <w:rsid w:val="001F43F6"/>
    <w:rsid w:val="00200AE3"/>
    <w:rsid w:val="00204A74"/>
    <w:rsid w:val="00227AAF"/>
    <w:rsid w:val="00234DA4"/>
    <w:rsid w:val="00236CA4"/>
    <w:rsid w:val="002379DF"/>
    <w:rsid w:val="00241CAA"/>
    <w:rsid w:val="00245722"/>
    <w:rsid w:val="00247160"/>
    <w:rsid w:val="00252B74"/>
    <w:rsid w:val="0029265A"/>
    <w:rsid w:val="002A1FA7"/>
    <w:rsid w:val="002A73C1"/>
    <w:rsid w:val="002C0BC8"/>
    <w:rsid w:val="002D4797"/>
    <w:rsid w:val="002E1BAE"/>
    <w:rsid w:val="002E302E"/>
    <w:rsid w:val="002E6797"/>
    <w:rsid w:val="002F15BE"/>
    <w:rsid w:val="002F5048"/>
    <w:rsid w:val="00303224"/>
    <w:rsid w:val="00304891"/>
    <w:rsid w:val="0031393E"/>
    <w:rsid w:val="00322CE2"/>
    <w:rsid w:val="00326D2F"/>
    <w:rsid w:val="00340BA9"/>
    <w:rsid w:val="00341FE2"/>
    <w:rsid w:val="003506DE"/>
    <w:rsid w:val="00364109"/>
    <w:rsid w:val="00391A9D"/>
    <w:rsid w:val="00395623"/>
    <w:rsid w:val="003B3486"/>
    <w:rsid w:val="003B75BD"/>
    <w:rsid w:val="003C3977"/>
    <w:rsid w:val="003E0F90"/>
    <w:rsid w:val="003E32FC"/>
    <w:rsid w:val="004263CA"/>
    <w:rsid w:val="00440ABC"/>
    <w:rsid w:val="0046205E"/>
    <w:rsid w:val="00464090"/>
    <w:rsid w:val="004654AF"/>
    <w:rsid w:val="00483D31"/>
    <w:rsid w:val="00483DFD"/>
    <w:rsid w:val="00485AE0"/>
    <w:rsid w:val="00492709"/>
    <w:rsid w:val="00496AC6"/>
    <w:rsid w:val="004A6CE4"/>
    <w:rsid w:val="004B3C1E"/>
    <w:rsid w:val="004C13B6"/>
    <w:rsid w:val="004C579B"/>
    <w:rsid w:val="004F512C"/>
    <w:rsid w:val="004F5C7C"/>
    <w:rsid w:val="004F66B5"/>
    <w:rsid w:val="005022B8"/>
    <w:rsid w:val="00505B5A"/>
    <w:rsid w:val="005065CC"/>
    <w:rsid w:val="00512A0C"/>
    <w:rsid w:val="0051402C"/>
    <w:rsid w:val="005468BF"/>
    <w:rsid w:val="0055697C"/>
    <w:rsid w:val="005662F5"/>
    <w:rsid w:val="00575C60"/>
    <w:rsid w:val="00590839"/>
    <w:rsid w:val="00597E84"/>
    <w:rsid w:val="005A772E"/>
    <w:rsid w:val="005B57A0"/>
    <w:rsid w:val="005C302C"/>
    <w:rsid w:val="005C658C"/>
    <w:rsid w:val="006029AE"/>
    <w:rsid w:val="006108B5"/>
    <w:rsid w:val="00611935"/>
    <w:rsid w:val="00613CBF"/>
    <w:rsid w:val="00617C1D"/>
    <w:rsid w:val="00623AA8"/>
    <w:rsid w:val="00626293"/>
    <w:rsid w:val="00626766"/>
    <w:rsid w:val="00631188"/>
    <w:rsid w:val="006318FD"/>
    <w:rsid w:val="0063438F"/>
    <w:rsid w:val="00646882"/>
    <w:rsid w:val="00660D41"/>
    <w:rsid w:val="00672F09"/>
    <w:rsid w:val="0068427C"/>
    <w:rsid w:val="00687228"/>
    <w:rsid w:val="00694997"/>
    <w:rsid w:val="00697078"/>
    <w:rsid w:val="006A2900"/>
    <w:rsid w:val="006A3357"/>
    <w:rsid w:val="006C1AAB"/>
    <w:rsid w:val="006C3967"/>
    <w:rsid w:val="006C4ABE"/>
    <w:rsid w:val="006C6D5E"/>
    <w:rsid w:val="006D0B4D"/>
    <w:rsid w:val="006D356E"/>
    <w:rsid w:val="006E71D1"/>
    <w:rsid w:val="006F2927"/>
    <w:rsid w:val="00730AC0"/>
    <w:rsid w:val="007547C8"/>
    <w:rsid w:val="00755D69"/>
    <w:rsid w:val="00771D53"/>
    <w:rsid w:val="00772E2B"/>
    <w:rsid w:val="00775E5F"/>
    <w:rsid w:val="007B510E"/>
    <w:rsid w:val="007B62FA"/>
    <w:rsid w:val="007E1234"/>
    <w:rsid w:val="007F1C93"/>
    <w:rsid w:val="007F3707"/>
    <w:rsid w:val="00806D23"/>
    <w:rsid w:val="00815B83"/>
    <w:rsid w:val="00824A66"/>
    <w:rsid w:val="00834D93"/>
    <w:rsid w:val="00840304"/>
    <w:rsid w:val="00841FB0"/>
    <w:rsid w:val="0084225D"/>
    <w:rsid w:val="00842F25"/>
    <w:rsid w:val="008432DF"/>
    <w:rsid w:val="008441DF"/>
    <w:rsid w:val="008538F6"/>
    <w:rsid w:val="008730D1"/>
    <w:rsid w:val="0087385C"/>
    <w:rsid w:val="00873C50"/>
    <w:rsid w:val="008824C8"/>
    <w:rsid w:val="00883206"/>
    <w:rsid w:val="00883F4B"/>
    <w:rsid w:val="00887551"/>
    <w:rsid w:val="008C5A21"/>
    <w:rsid w:val="008E048F"/>
    <w:rsid w:val="008E1781"/>
    <w:rsid w:val="008E5FD1"/>
    <w:rsid w:val="008F3C12"/>
    <w:rsid w:val="00900597"/>
    <w:rsid w:val="00920C9C"/>
    <w:rsid w:val="00923BC7"/>
    <w:rsid w:val="00926A89"/>
    <w:rsid w:val="0093644E"/>
    <w:rsid w:val="009370C1"/>
    <w:rsid w:val="00945669"/>
    <w:rsid w:val="00950121"/>
    <w:rsid w:val="00965435"/>
    <w:rsid w:val="00966846"/>
    <w:rsid w:val="00973FF3"/>
    <w:rsid w:val="00980762"/>
    <w:rsid w:val="00985421"/>
    <w:rsid w:val="00985948"/>
    <w:rsid w:val="0099114D"/>
    <w:rsid w:val="009A7D71"/>
    <w:rsid w:val="009B4ED4"/>
    <w:rsid w:val="009C70F3"/>
    <w:rsid w:val="009E2812"/>
    <w:rsid w:val="00A105A7"/>
    <w:rsid w:val="00A14A79"/>
    <w:rsid w:val="00A22680"/>
    <w:rsid w:val="00A40F6C"/>
    <w:rsid w:val="00A43922"/>
    <w:rsid w:val="00A44EBD"/>
    <w:rsid w:val="00A45CD9"/>
    <w:rsid w:val="00A6468A"/>
    <w:rsid w:val="00A835B8"/>
    <w:rsid w:val="00AA2185"/>
    <w:rsid w:val="00AC1B22"/>
    <w:rsid w:val="00AC6E2D"/>
    <w:rsid w:val="00AC7F0D"/>
    <w:rsid w:val="00AF2C49"/>
    <w:rsid w:val="00AF2DD3"/>
    <w:rsid w:val="00AF3A92"/>
    <w:rsid w:val="00AF566D"/>
    <w:rsid w:val="00B12896"/>
    <w:rsid w:val="00B17D79"/>
    <w:rsid w:val="00B21A76"/>
    <w:rsid w:val="00B40C1A"/>
    <w:rsid w:val="00B45A18"/>
    <w:rsid w:val="00B56CC2"/>
    <w:rsid w:val="00B609D7"/>
    <w:rsid w:val="00B669E2"/>
    <w:rsid w:val="00B83A33"/>
    <w:rsid w:val="00BC1698"/>
    <w:rsid w:val="00BC58CF"/>
    <w:rsid w:val="00BD1DD7"/>
    <w:rsid w:val="00BF192F"/>
    <w:rsid w:val="00C0317A"/>
    <w:rsid w:val="00C07D47"/>
    <w:rsid w:val="00C07E76"/>
    <w:rsid w:val="00C160F5"/>
    <w:rsid w:val="00C311D4"/>
    <w:rsid w:val="00C50D97"/>
    <w:rsid w:val="00CB0E9C"/>
    <w:rsid w:val="00CC7455"/>
    <w:rsid w:val="00CD29D5"/>
    <w:rsid w:val="00CD7DB1"/>
    <w:rsid w:val="00CE2E95"/>
    <w:rsid w:val="00CE32BC"/>
    <w:rsid w:val="00CE6AE5"/>
    <w:rsid w:val="00D11FD5"/>
    <w:rsid w:val="00D165F3"/>
    <w:rsid w:val="00D31B51"/>
    <w:rsid w:val="00D34DDC"/>
    <w:rsid w:val="00D422C7"/>
    <w:rsid w:val="00D44D50"/>
    <w:rsid w:val="00D47DD4"/>
    <w:rsid w:val="00D500E4"/>
    <w:rsid w:val="00D85B46"/>
    <w:rsid w:val="00DB6639"/>
    <w:rsid w:val="00DC7BC8"/>
    <w:rsid w:val="00DE3002"/>
    <w:rsid w:val="00DF1193"/>
    <w:rsid w:val="00E157E4"/>
    <w:rsid w:val="00E21A9C"/>
    <w:rsid w:val="00E2532D"/>
    <w:rsid w:val="00E266B0"/>
    <w:rsid w:val="00E269B7"/>
    <w:rsid w:val="00E47FC2"/>
    <w:rsid w:val="00E54122"/>
    <w:rsid w:val="00E54A42"/>
    <w:rsid w:val="00E56DB2"/>
    <w:rsid w:val="00E61056"/>
    <w:rsid w:val="00E85BC4"/>
    <w:rsid w:val="00E910E6"/>
    <w:rsid w:val="00E9228F"/>
    <w:rsid w:val="00EA4B17"/>
    <w:rsid w:val="00EA4D4D"/>
    <w:rsid w:val="00EB01F7"/>
    <w:rsid w:val="00EB3697"/>
    <w:rsid w:val="00EC2543"/>
    <w:rsid w:val="00EC5079"/>
    <w:rsid w:val="00ED0DFC"/>
    <w:rsid w:val="00EE10AE"/>
    <w:rsid w:val="00EE7AA9"/>
    <w:rsid w:val="00EF2E23"/>
    <w:rsid w:val="00EF4318"/>
    <w:rsid w:val="00EF75A7"/>
    <w:rsid w:val="00F104C8"/>
    <w:rsid w:val="00F15391"/>
    <w:rsid w:val="00F179DC"/>
    <w:rsid w:val="00F227DE"/>
    <w:rsid w:val="00F343C6"/>
    <w:rsid w:val="00F36347"/>
    <w:rsid w:val="00F37A3F"/>
    <w:rsid w:val="00F44144"/>
    <w:rsid w:val="00F441B6"/>
    <w:rsid w:val="00F4662F"/>
    <w:rsid w:val="00F720BC"/>
    <w:rsid w:val="00F72D30"/>
    <w:rsid w:val="00F91F80"/>
    <w:rsid w:val="00F938B8"/>
    <w:rsid w:val="00F953AB"/>
    <w:rsid w:val="00FB5FB2"/>
    <w:rsid w:val="00FC0343"/>
    <w:rsid w:val="00FD04DA"/>
    <w:rsid w:val="00FE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80"/>
    <w:pPr>
      <w:ind w:left="720"/>
      <w:contextualSpacing/>
    </w:pPr>
  </w:style>
  <w:style w:type="table" w:styleId="TableGrid">
    <w:name w:val="Table Grid"/>
    <w:basedOn w:val="TableNormal"/>
    <w:uiPriority w:val="59"/>
    <w:rsid w:val="00617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239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80"/>
    <w:pPr>
      <w:ind w:left="720"/>
      <w:contextualSpacing/>
    </w:pPr>
  </w:style>
  <w:style w:type="table" w:styleId="TableGrid">
    <w:name w:val="Table Grid"/>
    <w:basedOn w:val="TableNormal"/>
    <w:uiPriority w:val="59"/>
    <w:rsid w:val="00617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23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Qualcomm</cp:lastModifiedBy>
  <cp:revision>302</cp:revision>
  <dcterms:created xsi:type="dcterms:W3CDTF">2012-10-09T18:01:00Z</dcterms:created>
  <dcterms:modified xsi:type="dcterms:W3CDTF">2013-01-17T21:22:00Z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-244085267</vt:i4>
  </property>
  <property fmtid="{D5CDD505-2E9C-101B-9397-08002B2CF9AE}" pid="3" name="_NewReviewCycle">
    <vt:lpwstr/>
  </property>
  <property fmtid="{D5CDD505-2E9C-101B-9397-08002B2CF9AE}" pid="4" name="_EmailSubject">
    <vt:lpwstr>[STDS-802-3-EPOC] Evaluation Criteria and Requirements Ad Hoc Minutes</vt:lpwstr>
  </property>
  <property fmtid="{D5CDD505-2E9C-101B-9397-08002B2CF9AE}" pid="5" name="_AuthorEmail">
    <vt:lpwstr>sshellha@qti.qualcomm.com</vt:lpwstr>
  </property>
  <property fmtid="{D5CDD505-2E9C-101B-9397-08002B2CF9AE}" pid="6" name="_AuthorEmailDisplayName">
    <vt:lpwstr>Shellhammer, Steve</vt:lpwstr>
  </property>
</Properties>
</file>