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BD3B77" w:rsidRPr="00BD3B77">
        <w:trPr>
          <w:cantSplit/>
        </w:trPr>
        <w:tc>
          <w:tcPr>
            <w:tcW w:w="1417" w:type="dxa"/>
            <w:vMerge w:val="restart"/>
          </w:tcPr>
          <w:p w:rsidR="00BD3B77" w:rsidRPr="00BD3B77" w:rsidRDefault="00BD3B77" w:rsidP="00BD3B77">
            <w:bookmarkStart w:id="0" w:name="InsertLogo"/>
            <w:bookmarkStart w:id="1" w:name="dnum" w:colFirst="2" w:colLast="2"/>
            <w:bookmarkStart w:id="2" w:name="dtableau"/>
            <w:bookmarkEnd w:id="0"/>
            <w:r w:rsidRPr="00BD3B77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BD3B77" w:rsidRPr="00BD3B77" w:rsidRDefault="00BD3B77" w:rsidP="00BD3B77">
            <w:pPr>
              <w:rPr>
                <w:sz w:val="20"/>
              </w:rPr>
            </w:pPr>
            <w:r w:rsidRPr="00BD3B77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BD3B77" w:rsidRPr="00BD3B77" w:rsidRDefault="00BD3B77" w:rsidP="00BD3B77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 15 – LS 208 – E</w:t>
            </w:r>
          </w:p>
        </w:tc>
      </w:tr>
      <w:tr w:rsidR="00BD3B77" w:rsidRPr="00BD3B77">
        <w:trPr>
          <w:cantSplit/>
          <w:trHeight w:val="355"/>
        </w:trPr>
        <w:tc>
          <w:tcPr>
            <w:tcW w:w="1417" w:type="dxa"/>
            <w:vMerge/>
          </w:tcPr>
          <w:p w:rsidR="00BD3B77" w:rsidRPr="00BD3B77" w:rsidRDefault="00BD3B77" w:rsidP="00BD3B77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BD3B77" w:rsidRPr="00BD3B77" w:rsidRDefault="00BD3B77" w:rsidP="00BD3B77">
            <w:pPr>
              <w:rPr>
                <w:b/>
                <w:bCs/>
                <w:sz w:val="26"/>
              </w:rPr>
            </w:pPr>
            <w:r w:rsidRPr="00BD3B77">
              <w:rPr>
                <w:b/>
                <w:bCs/>
                <w:sz w:val="26"/>
              </w:rPr>
              <w:t>TELECOMMUNICATION</w:t>
            </w:r>
            <w:r w:rsidRPr="00BD3B77">
              <w:rPr>
                <w:b/>
                <w:bCs/>
                <w:sz w:val="26"/>
              </w:rPr>
              <w:br/>
              <w:t>STANDARDIZATION SECTOR</w:t>
            </w:r>
          </w:p>
          <w:p w:rsidR="00BD3B77" w:rsidRPr="00BD3B77" w:rsidRDefault="00BD3B77" w:rsidP="00BD3B77">
            <w:pPr>
              <w:rPr>
                <w:smallCaps/>
                <w:sz w:val="20"/>
              </w:rPr>
            </w:pPr>
            <w:r w:rsidRPr="00BD3B77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BD3B77" w:rsidRPr="00BD3B77" w:rsidRDefault="00BD3B77" w:rsidP="00BD3B77">
            <w:pPr>
              <w:jc w:val="right"/>
              <w:rPr>
                <w:b/>
                <w:bCs/>
              </w:rPr>
            </w:pPr>
          </w:p>
        </w:tc>
      </w:tr>
      <w:tr w:rsidR="00BD3B77" w:rsidRPr="00BD3B77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BD3B77" w:rsidRPr="00BD3B77" w:rsidRDefault="00BD3B77" w:rsidP="00BD3B77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BD3B77" w:rsidRPr="00BD3B77" w:rsidRDefault="00BD3B77" w:rsidP="00BD3B77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BD3B77" w:rsidRDefault="00BD3B77" w:rsidP="00BD3B77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BD3B77" w:rsidRPr="00BD3B77" w:rsidRDefault="00BD3B77" w:rsidP="00BD3B77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BD3B77" w:rsidRPr="00BD3B77">
        <w:trPr>
          <w:cantSplit/>
          <w:trHeight w:val="357"/>
        </w:trPr>
        <w:tc>
          <w:tcPr>
            <w:tcW w:w="1617" w:type="dxa"/>
            <w:gridSpan w:val="2"/>
          </w:tcPr>
          <w:p w:rsidR="00BD3B77" w:rsidRPr="00BD3B77" w:rsidRDefault="00BD3B77" w:rsidP="00BD3B77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BD3B77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BD3B77" w:rsidRPr="00BD3B77" w:rsidRDefault="00BD3B77" w:rsidP="00BD3B77">
            <w:r w:rsidRPr="00BD3B77">
              <w:t>10/15</w:t>
            </w:r>
          </w:p>
        </w:tc>
        <w:tc>
          <w:tcPr>
            <w:tcW w:w="4946" w:type="dxa"/>
            <w:gridSpan w:val="4"/>
          </w:tcPr>
          <w:p w:rsidR="00BD3B77" w:rsidRPr="00BD3B77" w:rsidRDefault="00BD3B77" w:rsidP="00BD3B77">
            <w:pPr>
              <w:jc w:val="right"/>
            </w:pPr>
          </w:p>
        </w:tc>
      </w:tr>
      <w:tr w:rsidR="00BD3B77" w:rsidRPr="00BD3B77">
        <w:trPr>
          <w:cantSplit/>
          <w:trHeight w:val="357"/>
        </w:trPr>
        <w:tc>
          <w:tcPr>
            <w:tcW w:w="9923" w:type="dxa"/>
            <w:gridSpan w:val="8"/>
          </w:tcPr>
          <w:p w:rsidR="00BD3B77" w:rsidRPr="00BD3B77" w:rsidRDefault="00BD3B77" w:rsidP="00BD3B77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BD3B77">
              <w:rPr>
                <w:b/>
                <w:bCs/>
              </w:rPr>
              <w:t>LIAISON STATEMENT</w:t>
            </w:r>
          </w:p>
        </w:tc>
      </w:tr>
      <w:tr w:rsidR="00BD3B77" w:rsidRPr="00BD3B77">
        <w:trPr>
          <w:cantSplit/>
          <w:trHeight w:val="357"/>
        </w:trPr>
        <w:tc>
          <w:tcPr>
            <w:tcW w:w="1617" w:type="dxa"/>
            <w:gridSpan w:val="2"/>
          </w:tcPr>
          <w:p w:rsidR="00BD3B77" w:rsidRPr="00BD3B77" w:rsidRDefault="00BD3B77" w:rsidP="00BD3B77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BD3B77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BD3B77" w:rsidRPr="00BD3B77" w:rsidRDefault="00BD3B77" w:rsidP="00BD3B77">
            <w:r>
              <w:t>ITU-T Study Group 15</w:t>
            </w:r>
          </w:p>
        </w:tc>
      </w:tr>
      <w:tr w:rsidR="00BD3B77" w:rsidRPr="00BD3B77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BD3B77" w:rsidRPr="00BD3B77" w:rsidRDefault="00BD3B77" w:rsidP="00BD3B77">
            <w:pPr>
              <w:spacing w:after="120"/>
            </w:pPr>
            <w:bookmarkStart w:id="9" w:name="dtitle1" w:colFirst="1" w:colLast="1"/>
            <w:bookmarkEnd w:id="8"/>
            <w:r w:rsidRPr="00BD3B77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BD3B77" w:rsidRPr="00BD3B77" w:rsidRDefault="00BD3B77" w:rsidP="00BD3B77">
            <w:pPr>
              <w:spacing w:after="120"/>
            </w:pPr>
            <w:r w:rsidRPr="00A82F14">
              <w:rPr>
                <w:rFonts w:asciiTheme="majorBidi" w:eastAsia="宋体" w:hAnsiTheme="majorBidi" w:cstheme="majorBidi"/>
                <w:szCs w:val="24"/>
              </w:rPr>
              <w:t>Rules for processing ESMC L2CP frames</w:t>
            </w:r>
          </w:p>
        </w:tc>
      </w:tr>
      <w:bookmarkEnd w:id="2"/>
      <w:bookmarkEnd w:id="9"/>
      <w:tr w:rsidR="00E839F6" w:rsidRPr="005B796B" w:rsidTr="00A4008F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E839F6" w:rsidRPr="00083B01" w:rsidRDefault="00E839F6" w:rsidP="00A4008F">
            <w:pPr>
              <w:jc w:val="center"/>
              <w:rPr>
                <w:b/>
              </w:rPr>
            </w:pPr>
            <w:r w:rsidRPr="00083B01">
              <w:rPr>
                <w:b/>
              </w:rPr>
              <w:t>LIAISON STATEMENT</w:t>
            </w:r>
          </w:p>
        </w:tc>
      </w:tr>
      <w:tr w:rsidR="00E839F6" w:rsidRPr="005B796B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E839F6" w:rsidRPr="00083B01" w:rsidRDefault="00E839F6" w:rsidP="00A4008F">
            <w:pPr>
              <w:rPr>
                <w:b/>
                <w:bCs/>
              </w:rPr>
            </w:pPr>
            <w:r w:rsidRPr="00083B01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E839F6" w:rsidRPr="00BD3B77" w:rsidRDefault="00E839F6" w:rsidP="00A4008F">
            <w:pPr>
              <w:pStyle w:val="LSForAction"/>
            </w:pPr>
            <w:r w:rsidRPr="00BD3B77">
              <w:t>-</w:t>
            </w:r>
          </w:p>
        </w:tc>
      </w:tr>
      <w:tr w:rsidR="00E839F6" w:rsidRPr="005B796B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E839F6" w:rsidRPr="00083B01" w:rsidRDefault="00E839F6" w:rsidP="00A4008F">
            <w:pPr>
              <w:rPr>
                <w:b/>
                <w:bCs/>
              </w:rPr>
            </w:pPr>
            <w:r w:rsidRPr="00083B01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E839F6" w:rsidRPr="00BD3B77" w:rsidRDefault="00E839F6" w:rsidP="00A4008F">
            <w:pPr>
              <w:pStyle w:val="LSForComment"/>
            </w:pPr>
            <w:r w:rsidRPr="00BD3B77">
              <w:t>-</w:t>
            </w:r>
          </w:p>
        </w:tc>
      </w:tr>
      <w:tr w:rsidR="00E839F6" w:rsidRPr="005B796B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E839F6" w:rsidRPr="00083B01" w:rsidRDefault="00E839F6" w:rsidP="00A4008F">
            <w:pPr>
              <w:rPr>
                <w:b/>
                <w:bCs/>
              </w:rPr>
            </w:pPr>
            <w:r w:rsidRPr="00083B01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E839F6" w:rsidRPr="00BD3B77" w:rsidRDefault="00BD3B77" w:rsidP="00A4008F">
            <w:pPr>
              <w:pStyle w:val="LSForInfo"/>
            </w:pPr>
            <w:r w:rsidRPr="00A82F14">
              <w:rPr>
                <w:rFonts w:asciiTheme="majorBidi" w:eastAsia="宋体" w:hAnsiTheme="majorBidi" w:cstheme="majorBidi"/>
                <w:szCs w:val="24"/>
              </w:rPr>
              <w:t>IEEE 802.1 and Metro Ethernet Forum</w:t>
            </w:r>
          </w:p>
        </w:tc>
      </w:tr>
      <w:tr w:rsidR="00E839F6" w:rsidRPr="005B796B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E839F6" w:rsidRPr="00083B01" w:rsidRDefault="00E839F6" w:rsidP="00A4008F">
            <w:pPr>
              <w:rPr>
                <w:b/>
                <w:bCs/>
              </w:rPr>
            </w:pPr>
            <w:r w:rsidRPr="00083B01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E839F6" w:rsidRPr="00BD3B77" w:rsidRDefault="004342A0" w:rsidP="00A4008F">
            <w:pPr>
              <w:rPr>
                <w:b/>
                <w:bCs/>
              </w:rPr>
            </w:pPr>
            <w:r>
              <w:rPr>
                <w:b/>
                <w:bCs/>
                <w:lang w:eastAsia="ja-JP"/>
              </w:rPr>
              <w:t xml:space="preserve">Agreed to at SG15 meeting </w:t>
            </w:r>
            <w:r w:rsidRPr="00E32CA7">
              <w:rPr>
                <w:b/>
                <w:bCs/>
              </w:rPr>
              <w:t>(Geneva, 31 May – 11 June 2010)</w:t>
            </w:r>
          </w:p>
        </w:tc>
      </w:tr>
      <w:tr w:rsidR="00E839F6" w:rsidRPr="005B796B" w:rsidTr="00A4008F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E839F6" w:rsidRPr="00083B01" w:rsidRDefault="00E839F6" w:rsidP="00A4008F">
            <w:pPr>
              <w:rPr>
                <w:b/>
                <w:bCs/>
              </w:rPr>
            </w:pPr>
            <w:r w:rsidRPr="00083B01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E839F6" w:rsidRPr="00BD3B77" w:rsidRDefault="00E839F6" w:rsidP="00A4008F">
            <w:pPr>
              <w:pStyle w:val="LSDeadline"/>
              <w:rPr>
                <w:lang w:eastAsia="ja-JP"/>
              </w:rPr>
            </w:pPr>
            <w:r w:rsidRPr="00BD3B77">
              <w:rPr>
                <w:lang w:eastAsia="ja-JP"/>
              </w:rPr>
              <w:t>-</w:t>
            </w:r>
          </w:p>
        </w:tc>
      </w:tr>
      <w:tr w:rsidR="00E839F6" w:rsidRPr="005B796B" w:rsidTr="00A4008F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E839F6" w:rsidRPr="005B796B" w:rsidRDefault="00E839F6" w:rsidP="00A4008F">
            <w:pPr>
              <w:rPr>
                <w:b/>
                <w:bCs/>
              </w:rPr>
            </w:pPr>
            <w:r w:rsidRPr="005B796B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E839F6" w:rsidRPr="00083B01" w:rsidRDefault="00E839F6" w:rsidP="00A4008F">
            <w:r w:rsidRPr="00083B01">
              <w:t>Huub van Helvoort</w:t>
            </w:r>
          </w:p>
          <w:p w:rsidR="00E839F6" w:rsidRPr="00083B01" w:rsidRDefault="00E839F6" w:rsidP="00A4008F">
            <w:pPr>
              <w:spacing w:before="0"/>
            </w:pPr>
            <w:r w:rsidRPr="00083B01">
              <w:t>Huawei Technologies Ltd.</w:t>
            </w:r>
          </w:p>
          <w:p w:rsidR="00E839F6" w:rsidRPr="00083B01" w:rsidRDefault="00E839F6" w:rsidP="00A4008F">
            <w:pPr>
              <w:spacing w:before="0"/>
            </w:pPr>
            <w:r w:rsidRPr="00083B01">
              <w:t>PR China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E839F6" w:rsidRPr="00083B01" w:rsidRDefault="00E839F6" w:rsidP="00A4008F">
            <w:r w:rsidRPr="00083B01">
              <w:t>Tel: +31 649248936</w:t>
            </w:r>
          </w:p>
          <w:p w:rsidR="00E839F6" w:rsidRPr="00083B01" w:rsidRDefault="00E839F6" w:rsidP="00A4008F">
            <w:pPr>
              <w:spacing w:before="0"/>
              <w:rPr>
                <w:lang w:val="fr-CH"/>
              </w:rPr>
            </w:pPr>
            <w:r w:rsidRPr="00083B01">
              <w:rPr>
                <w:lang w:val="fr-CH"/>
              </w:rPr>
              <w:t>Email: hhelvoort@huawei.com</w:t>
            </w:r>
          </w:p>
        </w:tc>
      </w:tr>
      <w:tr w:rsidR="00E839F6" w:rsidRPr="00083B01" w:rsidTr="00A4008F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E839F6" w:rsidRPr="005B796B" w:rsidRDefault="00E839F6" w:rsidP="00A4008F">
            <w:pPr>
              <w:spacing w:before="0"/>
              <w:rPr>
                <w:sz w:val="18"/>
              </w:rPr>
            </w:pPr>
          </w:p>
        </w:tc>
      </w:tr>
    </w:tbl>
    <w:p w:rsidR="00E839F6" w:rsidRDefault="00E839F6" w:rsidP="00E839F6">
      <w:r>
        <w:t>At the last ITU-T SG15 Plenary meeting, Q10/15 agreed to study the extension of L2CP tables as defined in G.8011.1 for the particular use cases presented in the attached document - contribution C901. Q10 plans to add revisions to the L2CP tables to cover the scenarios described in the attached document.</w:t>
      </w:r>
    </w:p>
    <w:p w:rsidR="00E839F6" w:rsidRDefault="00E839F6" w:rsidP="00E839F6">
      <w:r>
        <w:t>The scenario involves the processing aspects of L2CP ESMC frames (Ethernet Sync Messaging Channel – defined in ITU-T G.8264) that are transmitted over Synchronous Ethernet links</w:t>
      </w:r>
      <w:r w:rsidRPr="00F223BD">
        <w:t xml:space="preserve">, and the importance of not passing </w:t>
      </w:r>
      <w:r>
        <w:t xml:space="preserve">(or generating) </w:t>
      </w:r>
      <w:r w:rsidRPr="00F223BD">
        <w:t>these frames onto other links</w:t>
      </w:r>
      <w:r>
        <w:t xml:space="preserve">. The scenarios for not passing or generating these frames is described in C901. </w:t>
      </w:r>
    </w:p>
    <w:p w:rsidR="00E839F6" w:rsidRDefault="00E839F6" w:rsidP="00E839F6"/>
    <w:p w:rsidR="00E839F6" w:rsidRDefault="004342A0" w:rsidP="00E839F6">
      <w:r w:rsidRPr="004342A0">
        <w:t>Attach</w:t>
      </w:r>
      <w:r w:rsidR="00E839F6" w:rsidRPr="004342A0">
        <w:t>: C901.doc</w:t>
      </w:r>
      <w:r w:rsidRPr="004342A0">
        <w:t>.</w:t>
      </w:r>
    </w:p>
    <w:p w:rsidR="004342A0" w:rsidRDefault="004342A0" w:rsidP="004342A0">
      <w:pPr>
        <w:jc w:val="center"/>
      </w:pPr>
      <w:r>
        <w:t>________________________</w:t>
      </w:r>
    </w:p>
    <w:sectPr w:rsidR="004342A0" w:rsidSect="00BD3B77">
      <w:headerReference w:type="default" r:id="rId7"/>
      <w:footerReference w:type="default" r:id="rId8"/>
      <w:footerReference w:type="first" r:id="rId9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EA8" w:rsidRDefault="00301EA8" w:rsidP="00BD3B77">
      <w:pPr>
        <w:spacing w:before="0"/>
      </w:pPr>
      <w:r>
        <w:separator/>
      </w:r>
    </w:p>
  </w:endnote>
  <w:endnote w:type="continuationSeparator" w:id="0">
    <w:p w:rsidR="00301EA8" w:rsidRDefault="00301EA8" w:rsidP="00BD3B7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Times New Roman"/>
    <w:panose1 w:val="00000000000000000000"/>
    <w:charset w:val="4D"/>
    <w:family w:val="roman"/>
    <w:notTrueType/>
    <w:pitch w:val="default"/>
    <w:sig w:usb0="00000000" w:usb1="0A02889C" w:usb2="00000015" w:usb3="0D07859C" w:csb0="3D78AF95" w:csb1="0D07862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B77" w:rsidRPr="00BD3B77" w:rsidRDefault="00BD3B77" w:rsidP="00BD3B77">
    <w:pPr>
      <w:pStyle w:val="Footer"/>
      <w:rPr>
        <w:sz w:val="16"/>
        <w:lang w:val="fr-FR"/>
      </w:rPr>
    </w:pPr>
    <w:r w:rsidRPr="00BD3B77">
      <w:rPr>
        <w:sz w:val="16"/>
        <w:lang w:val="fr-FR"/>
      </w:rPr>
      <w:t>ITU-T\COM-T\COM15\LS\208E.DOC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jc w:val="center"/>
      <w:tblLayout w:type="fixed"/>
      <w:tblLook w:val="0000"/>
    </w:tblPr>
    <w:tblGrid>
      <w:gridCol w:w="9923"/>
    </w:tblGrid>
    <w:tr w:rsidR="00BD3B77" w:rsidRPr="00BD3B77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BD3B77" w:rsidRPr="00BD3B77" w:rsidRDefault="00BD3B77" w:rsidP="00BD3B77">
          <w:pPr>
            <w:spacing w:before="0"/>
            <w:rPr>
              <w:sz w:val="18"/>
            </w:rPr>
          </w:pPr>
          <w:r w:rsidRPr="00BD3B77">
            <w:rPr>
              <w:b/>
              <w:bCs/>
              <w:sz w:val="18"/>
            </w:rPr>
            <w:t>Attention:</w:t>
          </w:r>
          <w:r w:rsidRPr="00BD3B77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BD3B77" w:rsidRPr="00BD3B77" w:rsidRDefault="00BD3B77" w:rsidP="00BD3B77">
          <w:pPr>
            <w:spacing w:before="0"/>
            <w:rPr>
              <w:sz w:val="18"/>
            </w:rPr>
          </w:pPr>
          <w:r w:rsidRPr="00BD3B77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BD3B77" w:rsidRPr="00BD3B77" w:rsidRDefault="00BD3B77" w:rsidP="00BD3B77">
    <w:pPr>
      <w:spacing w:before="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EA8" w:rsidRDefault="00301EA8" w:rsidP="00BD3B77">
      <w:pPr>
        <w:spacing w:before="0"/>
      </w:pPr>
      <w:r>
        <w:separator/>
      </w:r>
    </w:p>
  </w:footnote>
  <w:footnote w:type="continuationSeparator" w:id="0">
    <w:p w:rsidR="00301EA8" w:rsidRDefault="00301EA8" w:rsidP="00BD3B7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B77" w:rsidRPr="00BD3B77" w:rsidRDefault="00BD3B77" w:rsidP="00BD3B77">
    <w:pPr>
      <w:pStyle w:val="Header"/>
      <w:jc w:val="center"/>
      <w:rPr>
        <w:sz w:val="18"/>
      </w:rPr>
    </w:pPr>
    <w:r w:rsidRPr="00BD3B77">
      <w:rPr>
        <w:sz w:val="18"/>
      </w:rPr>
      <w:t xml:space="preserve">- </w:t>
    </w:r>
    <w:r w:rsidR="00AF4E07" w:rsidRPr="00BD3B77">
      <w:rPr>
        <w:sz w:val="18"/>
      </w:rPr>
      <w:fldChar w:fldCharType="begin"/>
    </w:r>
    <w:r w:rsidRPr="00BD3B77">
      <w:rPr>
        <w:sz w:val="18"/>
      </w:rPr>
      <w:instrText xml:space="preserve"> PAGE  \* MERGEFORMAT </w:instrText>
    </w:r>
    <w:r w:rsidR="00AF4E07" w:rsidRPr="00BD3B77">
      <w:rPr>
        <w:sz w:val="18"/>
      </w:rPr>
      <w:fldChar w:fldCharType="separate"/>
    </w:r>
    <w:r>
      <w:rPr>
        <w:noProof/>
        <w:sz w:val="18"/>
      </w:rPr>
      <w:t>1</w:t>
    </w:r>
    <w:r w:rsidR="00AF4E07" w:rsidRPr="00BD3B77">
      <w:rPr>
        <w:sz w:val="18"/>
      </w:rPr>
      <w:fldChar w:fldCharType="end"/>
    </w:r>
    <w:r w:rsidRPr="00BD3B77">
      <w:rPr>
        <w:sz w:val="18"/>
      </w:rPr>
      <w:t xml:space="preserve"> -</w:t>
    </w:r>
  </w:p>
  <w:p w:rsidR="00BD3B77" w:rsidRPr="00BD3B77" w:rsidRDefault="00BD3B77" w:rsidP="00BD3B77">
    <w:pPr>
      <w:pStyle w:val="Header"/>
      <w:spacing w:after="240"/>
      <w:jc w:val="center"/>
      <w:rPr>
        <w:sz w:val="18"/>
      </w:rPr>
    </w:pPr>
    <w:r w:rsidRPr="00BD3B77">
      <w:rPr>
        <w:sz w:val="18"/>
      </w:rPr>
      <w:t>COM 15 – LS 208 – 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39F6"/>
    <w:rsid w:val="002D7F60"/>
    <w:rsid w:val="00301EA8"/>
    <w:rsid w:val="004342A0"/>
    <w:rsid w:val="00AF4E07"/>
    <w:rsid w:val="00B167B8"/>
    <w:rsid w:val="00BD3B77"/>
    <w:rsid w:val="00E839F6"/>
    <w:rsid w:val="00ED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9F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E839F6"/>
    <w:pPr>
      <w:keepNext/>
      <w:keepLines/>
      <w:spacing w:before="480"/>
      <w:jc w:val="center"/>
    </w:pPr>
    <w:rPr>
      <w:b/>
      <w:sz w:val="28"/>
    </w:rPr>
  </w:style>
  <w:style w:type="paragraph" w:customStyle="1" w:styleId="LSDeadline">
    <w:name w:val="LSDeadline"/>
    <w:basedOn w:val="Normal"/>
    <w:rsid w:val="00E839F6"/>
    <w:rPr>
      <w:b/>
      <w:bCs/>
    </w:rPr>
  </w:style>
  <w:style w:type="paragraph" w:customStyle="1" w:styleId="LSForAction">
    <w:name w:val="LSForAction"/>
    <w:basedOn w:val="Normal"/>
    <w:rsid w:val="00E839F6"/>
    <w:rPr>
      <w:b/>
      <w:bCs/>
    </w:rPr>
  </w:style>
  <w:style w:type="paragraph" w:customStyle="1" w:styleId="LSSource">
    <w:name w:val="LSSource"/>
    <w:basedOn w:val="Normal"/>
    <w:rsid w:val="00E839F6"/>
    <w:rPr>
      <w:b/>
      <w:bCs/>
    </w:rPr>
  </w:style>
  <w:style w:type="paragraph" w:customStyle="1" w:styleId="LSTitle">
    <w:name w:val="LSTitle"/>
    <w:basedOn w:val="Normal"/>
    <w:rsid w:val="00E839F6"/>
    <w:rPr>
      <w:b/>
      <w:bCs/>
    </w:rPr>
  </w:style>
  <w:style w:type="paragraph" w:customStyle="1" w:styleId="LSForInfo">
    <w:name w:val="LSForInfo"/>
    <w:basedOn w:val="LSForAction"/>
    <w:rsid w:val="00E839F6"/>
  </w:style>
  <w:style w:type="paragraph" w:customStyle="1" w:styleId="LSForComment">
    <w:name w:val="LSForComment"/>
    <w:basedOn w:val="LSForAction"/>
    <w:rsid w:val="00E839F6"/>
  </w:style>
  <w:style w:type="paragraph" w:styleId="Header">
    <w:name w:val="header"/>
    <w:basedOn w:val="Normal"/>
    <w:link w:val="HeaderChar"/>
    <w:uiPriority w:val="99"/>
    <w:semiHidden/>
    <w:unhideWhenUsed/>
    <w:rsid w:val="00BD3B77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B7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D3B77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BD3B77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1083</Characters>
  <Application>Microsoft Office Word</Application>
  <DocSecurity>0</DocSecurity>
  <Lines>9</Lines>
  <Paragraphs>2</Paragraphs>
  <ScaleCrop>false</ScaleCrop>
  <Manager>ITU-T</Manager>
  <Company>International Telecommunication Union (ITU)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for processing ESMC L2CP frames</dc:title>
  <dc:subject/>
  <dc:creator>ITU-T SG 15</dc:creator>
  <cp:keywords>10/15</cp:keywords>
  <dc:description>COM 15 – LS 208 – E  For: _x000d_Document date: _x000d_Saved by RC-51004269 at 14:54:44 on 17.06.2010</dc:description>
  <cp:lastModifiedBy>clarker</cp:lastModifiedBy>
  <cp:revision>3</cp:revision>
  <dcterms:created xsi:type="dcterms:W3CDTF">2010-06-16T13:12:00Z</dcterms:created>
  <dcterms:modified xsi:type="dcterms:W3CDTF">2010-06-18T12:03:00Z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208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10/15</vt:lpwstr>
  </property>
  <property fmtid="{D5CDD505-2E9C-101B-9397-08002B2CF9AE}" pid="6" name="Docdest">
    <vt:lpwstr/>
  </property>
  <property fmtid="{D5CDD505-2E9C-101B-9397-08002B2CF9AE}" pid="7" name="Docauthor">
    <vt:lpwstr>ITU-T SG 15</vt:lpwstr>
  </property>
</Properties>
</file>