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0D1C5B" w:rsidRPr="000D1C5B">
        <w:trPr>
          <w:cantSplit/>
        </w:trPr>
        <w:tc>
          <w:tcPr>
            <w:tcW w:w="4857" w:type="dxa"/>
            <w:gridSpan w:val="2"/>
          </w:tcPr>
          <w:p w:rsidR="000D1C5B" w:rsidRPr="000D1C5B" w:rsidRDefault="000D1C5B" w:rsidP="000D1C5B">
            <w:pPr>
              <w:rPr>
                <w:sz w:val="20"/>
              </w:rPr>
            </w:pPr>
            <w:bookmarkStart w:id="0" w:name="dsg" w:colFirst="1" w:colLast="1"/>
            <w:bookmarkStart w:id="1" w:name="dtableau"/>
            <w:bookmarkStart w:id="2" w:name="_Toc79217463"/>
            <w:bookmarkStart w:id="3" w:name="_GoBack"/>
            <w:bookmarkEnd w:id="3"/>
            <w:r w:rsidRPr="000D1C5B">
              <w:rPr>
                <w:sz w:val="20"/>
              </w:rPr>
              <w:t>INTERNATIONAL TELECOMMUNICATION UNION</w:t>
            </w:r>
          </w:p>
        </w:tc>
        <w:tc>
          <w:tcPr>
            <w:tcW w:w="5066" w:type="dxa"/>
          </w:tcPr>
          <w:p w:rsidR="000D1C5B" w:rsidRPr="000D1C5B" w:rsidRDefault="000D1C5B" w:rsidP="000D1C5B">
            <w:pPr>
              <w:jc w:val="right"/>
              <w:rPr>
                <w:b/>
                <w:bCs/>
                <w:smallCaps/>
                <w:sz w:val="32"/>
              </w:rPr>
            </w:pPr>
            <w:r>
              <w:rPr>
                <w:b/>
                <w:bCs/>
                <w:smallCaps/>
                <w:sz w:val="32"/>
              </w:rPr>
              <w:t>STUDY GROUP 15</w:t>
            </w:r>
          </w:p>
        </w:tc>
      </w:tr>
      <w:tr w:rsidR="000D1C5B" w:rsidRPr="000D1C5B">
        <w:trPr>
          <w:cantSplit/>
          <w:trHeight w:val="461"/>
        </w:trPr>
        <w:tc>
          <w:tcPr>
            <w:tcW w:w="4857" w:type="dxa"/>
            <w:gridSpan w:val="2"/>
            <w:vMerge w:val="restart"/>
            <w:tcBorders>
              <w:bottom w:val="nil"/>
            </w:tcBorders>
          </w:tcPr>
          <w:p w:rsidR="000D1C5B" w:rsidRPr="000D1C5B" w:rsidRDefault="000D1C5B" w:rsidP="000D1C5B">
            <w:pPr>
              <w:rPr>
                <w:b/>
                <w:bCs/>
                <w:sz w:val="26"/>
              </w:rPr>
            </w:pPr>
            <w:bookmarkStart w:id="4" w:name="dnum" w:colFirst="1" w:colLast="1"/>
            <w:bookmarkEnd w:id="0"/>
            <w:r w:rsidRPr="000D1C5B">
              <w:rPr>
                <w:b/>
                <w:bCs/>
                <w:sz w:val="26"/>
              </w:rPr>
              <w:t>TELECOMMUNICATION</w:t>
            </w:r>
            <w:r w:rsidRPr="000D1C5B">
              <w:rPr>
                <w:b/>
                <w:bCs/>
                <w:sz w:val="26"/>
              </w:rPr>
              <w:br/>
              <w:t>STANDARDIZATION SECTOR</w:t>
            </w:r>
          </w:p>
          <w:p w:rsidR="000D1C5B" w:rsidRPr="000D1C5B" w:rsidRDefault="000D1C5B" w:rsidP="000D1C5B">
            <w:pPr>
              <w:rPr>
                <w:smallCaps/>
                <w:sz w:val="20"/>
              </w:rPr>
            </w:pPr>
            <w:r w:rsidRPr="000D1C5B">
              <w:rPr>
                <w:sz w:val="20"/>
              </w:rPr>
              <w:t xml:space="preserve">STUDY PERIOD </w:t>
            </w:r>
            <w:r>
              <w:rPr>
                <w:sz w:val="20"/>
              </w:rPr>
              <w:t>2013-2016</w:t>
            </w:r>
          </w:p>
        </w:tc>
        <w:tc>
          <w:tcPr>
            <w:tcW w:w="5066" w:type="dxa"/>
            <w:tcBorders>
              <w:bottom w:val="nil"/>
            </w:tcBorders>
          </w:tcPr>
          <w:p w:rsidR="000D1C5B" w:rsidRPr="000D1C5B" w:rsidRDefault="000D1C5B" w:rsidP="000D1C5B">
            <w:pPr>
              <w:pStyle w:val="Docnumber"/>
            </w:pPr>
            <w:r>
              <w:t>TD 411</w:t>
            </w:r>
            <w:r w:rsidR="00EC2190">
              <w:t xml:space="preserve"> </w:t>
            </w:r>
            <w:r w:rsidR="00D76B66">
              <w:t>Rev</w:t>
            </w:r>
            <w:r w:rsidR="00EC2190">
              <w:t>.</w:t>
            </w:r>
            <w:r w:rsidR="00D76B66">
              <w:t>1</w:t>
            </w:r>
            <w:r>
              <w:t xml:space="preserve"> (PLEN/15)</w:t>
            </w:r>
          </w:p>
        </w:tc>
      </w:tr>
      <w:tr w:rsidR="000D1C5B" w:rsidRPr="000D1C5B">
        <w:trPr>
          <w:cantSplit/>
          <w:trHeight w:val="355"/>
        </w:trPr>
        <w:tc>
          <w:tcPr>
            <w:tcW w:w="4857" w:type="dxa"/>
            <w:gridSpan w:val="2"/>
            <w:vMerge/>
            <w:tcBorders>
              <w:bottom w:val="single" w:sz="12" w:space="0" w:color="auto"/>
            </w:tcBorders>
          </w:tcPr>
          <w:p w:rsidR="000D1C5B" w:rsidRPr="000D1C5B" w:rsidRDefault="000D1C5B" w:rsidP="000D1C5B">
            <w:pPr>
              <w:rPr>
                <w:b/>
                <w:bCs/>
                <w:sz w:val="26"/>
              </w:rPr>
            </w:pPr>
            <w:bookmarkStart w:id="5" w:name="dorlang" w:colFirst="1" w:colLast="1"/>
            <w:bookmarkEnd w:id="4"/>
          </w:p>
        </w:tc>
        <w:tc>
          <w:tcPr>
            <w:tcW w:w="5066" w:type="dxa"/>
            <w:tcBorders>
              <w:bottom w:val="single" w:sz="12" w:space="0" w:color="auto"/>
            </w:tcBorders>
          </w:tcPr>
          <w:p w:rsidR="000D1C5B" w:rsidRDefault="000D1C5B" w:rsidP="000D1C5B">
            <w:pPr>
              <w:jc w:val="right"/>
              <w:rPr>
                <w:b/>
                <w:bCs/>
                <w:sz w:val="28"/>
              </w:rPr>
            </w:pPr>
            <w:r>
              <w:rPr>
                <w:b/>
                <w:bCs/>
                <w:sz w:val="28"/>
              </w:rPr>
              <w:t>English only</w:t>
            </w:r>
          </w:p>
          <w:p w:rsidR="000D1C5B" w:rsidRPr="000D1C5B" w:rsidRDefault="000D1C5B" w:rsidP="000D1C5B">
            <w:pPr>
              <w:jc w:val="right"/>
              <w:rPr>
                <w:b/>
                <w:bCs/>
                <w:sz w:val="28"/>
              </w:rPr>
            </w:pPr>
            <w:r>
              <w:rPr>
                <w:b/>
                <w:bCs/>
                <w:sz w:val="28"/>
              </w:rPr>
              <w:t>Original: English</w:t>
            </w:r>
          </w:p>
        </w:tc>
      </w:tr>
      <w:tr w:rsidR="000D1C5B" w:rsidRPr="000D1C5B">
        <w:trPr>
          <w:cantSplit/>
          <w:trHeight w:val="357"/>
        </w:trPr>
        <w:tc>
          <w:tcPr>
            <w:tcW w:w="1617" w:type="dxa"/>
          </w:tcPr>
          <w:p w:rsidR="000D1C5B" w:rsidRPr="000D1C5B" w:rsidRDefault="000D1C5B" w:rsidP="000D1C5B">
            <w:pPr>
              <w:rPr>
                <w:b/>
                <w:bCs/>
              </w:rPr>
            </w:pPr>
            <w:bookmarkStart w:id="6" w:name="dbluepink" w:colFirst="1" w:colLast="1"/>
            <w:bookmarkStart w:id="7" w:name="dmeeting" w:colFirst="2" w:colLast="2"/>
            <w:bookmarkEnd w:id="5"/>
            <w:r w:rsidRPr="000D1C5B">
              <w:rPr>
                <w:b/>
                <w:bCs/>
              </w:rPr>
              <w:t>Question(s):</w:t>
            </w:r>
          </w:p>
        </w:tc>
        <w:tc>
          <w:tcPr>
            <w:tcW w:w="3240" w:type="dxa"/>
          </w:tcPr>
          <w:p w:rsidR="000D1C5B" w:rsidRPr="000D1C5B" w:rsidRDefault="000D1C5B" w:rsidP="000D1C5B">
            <w:r w:rsidRPr="000D1C5B">
              <w:t>13</w:t>
            </w:r>
            <w:r>
              <w:t>/15</w:t>
            </w:r>
          </w:p>
        </w:tc>
        <w:tc>
          <w:tcPr>
            <w:tcW w:w="5066" w:type="dxa"/>
          </w:tcPr>
          <w:p w:rsidR="000D1C5B" w:rsidRPr="000D1C5B" w:rsidRDefault="000D1C5B" w:rsidP="000D1C5B">
            <w:pPr>
              <w:jc w:val="right"/>
            </w:pPr>
            <w:r w:rsidRPr="000D1C5B">
              <w:t>22 June - 3 July 2015</w:t>
            </w:r>
          </w:p>
        </w:tc>
      </w:tr>
      <w:tr w:rsidR="000D1C5B" w:rsidRPr="000D1C5B">
        <w:trPr>
          <w:cantSplit/>
          <w:trHeight w:val="357"/>
        </w:trPr>
        <w:tc>
          <w:tcPr>
            <w:tcW w:w="9923" w:type="dxa"/>
            <w:gridSpan w:val="3"/>
          </w:tcPr>
          <w:p w:rsidR="000D1C5B" w:rsidRPr="000D1C5B" w:rsidRDefault="000D1C5B" w:rsidP="000D1C5B">
            <w:pPr>
              <w:jc w:val="center"/>
              <w:rPr>
                <w:b/>
                <w:bCs/>
              </w:rPr>
            </w:pPr>
            <w:bookmarkStart w:id="8" w:name="dtitle" w:colFirst="0" w:colLast="0"/>
            <w:bookmarkEnd w:id="6"/>
            <w:bookmarkEnd w:id="7"/>
            <w:r w:rsidRPr="000D1C5B">
              <w:rPr>
                <w:b/>
                <w:bCs/>
              </w:rPr>
              <w:t>TD</w:t>
            </w:r>
          </w:p>
        </w:tc>
      </w:tr>
      <w:tr w:rsidR="000D1C5B" w:rsidRPr="000D1C5B">
        <w:trPr>
          <w:cantSplit/>
          <w:trHeight w:val="357"/>
        </w:trPr>
        <w:tc>
          <w:tcPr>
            <w:tcW w:w="1617" w:type="dxa"/>
          </w:tcPr>
          <w:p w:rsidR="000D1C5B" w:rsidRPr="000D1C5B" w:rsidRDefault="000D1C5B" w:rsidP="000D1C5B">
            <w:pPr>
              <w:rPr>
                <w:b/>
                <w:bCs/>
              </w:rPr>
            </w:pPr>
            <w:bookmarkStart w:id="9" w:name="dsource" w:colFirst="1" w:colLast="1"/>
            <w:bookmarkEnd w:id="8"/>
            <w:r w:rsidRPr="000D1C5B">
              <w:rPr>
                <w:b/>
                <w:bCs/>
              </w:rPr>
              <w:t>Source:</w:t>
            </w:r>
          </w:p>
        </w:tc>
        <w:tc>
          <w:tcPr>
            <w:tcW w:w="8306" w:type="dxa"/>
            <w:gridSpan w:val="2"/>
          </w:tcPr>
          <w:p w:rsidR="000D1C5B" w:rsidRPr="000D1C5B" w:rsidRDefault="000D1C5B" w:rsidP="000D1C5B">
            <w:r w:rsidRPr="000D1C5B">
              <w:t>Editor G.8273.2/Y.1368.2</w:t>
            </w:r>
          </w:p>
        </w:tc>
      </w:tr>
      <w:tr w:rsidR="000D1C5B" w:rsidRPr="000D1C5B">
        <w:trPr>
          <w:cantSplit/>
          <w:trHeight w:val="357"/>
        </w:trPr>
        <w:tc>
          <w:tcPr>
            <w:tcW w:w="1617" w:type="dxa"/>
            <w:tcBorders>
              <w:bottom w:val="single" w:sz="12" w:space="0" w:color="auto"/>
            </w:tcBorders>
          </w:tcPr>
          <w:p w:rsidR="000D1C5B" w:rsidRPr="000D1C5B" w:rsidRDefault="000D1C5B" w:rsidP="000D1C5B">
            <w:pPr>
              <w:spacing w:after="120"/>
            </w:pPr>
            <w:bookmarkStart w:id="10" w:name="dtitle1" w:colFirst="1" w:colLast="1"/>
            <w:bookmarkEnd w:id="9"/>
            <w:r w:rsidRPr="000D1C5B">
              <w:rPr>
                <w:b/>
                <w:bCs/>
              </w:rPr>
              <w:t>Title:</w:t>
            </w:r>
          </w:p>
        </w:tc>
        <w:tc>
          <w:tcPr>
            <w:tcW w:w="8306" w:type="dxa"/>
            <w:gridSpan w:val="2"/>
            <w:tcBorders>
              <w:bottom w:val="single" w:sz="12" w:space="0" w:color="auto"/>
            </w:tcBorders>
          </w:tcPr>
          <w:p w:rsidR="000D1C5B" w:rsidRPr="000D1C5B" w:rsidRDefault="00EC2190" w:rsidP="000D1C5B">
            <w:pPr>
              <w:spacing w:after="120"/>
            </w:pPr>
            <w:r w:rsidRPr="00EC2190">
              <w:t>Draft Amendment 2 to Recommendation ITU-T G.8273.2/Y.1368.2 (2014) (for Consent, 3 July 2015)</w:t>
            </w:r>
          </w:p>
        </w:tc>
      </w:tr>
    </w:tbl>
    <w:bookmarkEnd w:id="1"/>
    <w:bookmarkEnd w:id="10"/>
    <w:p w:rsidR="006E4D99" w:rsidRDefault="006E4D99">
      <w:pPr>
        <w:pStyle w:val="Heading1"/>
        <w:numPr>
          <w:ilvl w:val="0"/>
          <w:numId w:val="0"/>
        </w:numPr>
      </w:pPr>
      <w:r>
        <w:t>Abstract</w:t>
      </w:r>
      <w:bookmarkEnd w:id="2"/>
    </w:p>
    <w:p w:rsidR="006E4D99" w:rsidRDefault="006E4D99" w:rsidP="004D465F">
      <w:pPr>
        <w:pStyle w:val="Normalaftertitle"/>
      </w:pPr>
      <w:bookmarkStart w:id="11" w:name="_Toc125961314"/>
      <w:r>
        <w:t>This document contains the draft of the ITU-T Amendment</w:t>
      </w:r>
      <w:r w:rsidRPr="004D465F">
        <w:t xml:space="preserve"> </w:t>
      </w:r>
      <w:r w:rsidR="004D465F" w:rsidRPr="004D465F">
        <w:t>2</w:t>
      </w:r>
      <w:r w:rsidR="00141C3A">
        <w:rPr>
          <w:b/>
        </w:rPr>
        <w:t xml:space="preserve"> </w:t>
      </w:r>
      <w:r>
        <w:t>of t</w:t>
      </w:r>
      <w:r w:rsidR="002B3D33">
        <w:t xml:space="preserve">he Recommendation </w:t>
      </w:r>
      <w:r w:rsidR="00441A6E" w:rsidRPr="00441A6E">
        <w:t>G.8273.2/Y.1368.2</w:t>
      </w:r>
      <w:r w:rsidR="00441A6E">
        <w:t xml:space="preserve"> </w:t>
      </w:r>
      <w:r w:rsidR="00CF11A8">
        <w:t xml:space="preserve">as agreed at the meeting </w:t>
      </w:r>
      <w:r w:rsidR="002B3D33">
        <w:t xml:space="preserve">in </w:t>
      </w:r>
      <w:r w:rsidR="004D465F" w:rsidRPr="00305F77">
        <w:t>San Jose, March 02-06, 2015</w:t>
      </w:r>
      <w:r w:rsidR="00441A6E">
        <w:t>.</w:t>
      </w:r>
      <w:r w:rsidR="000D7FA0">
        <w:t xml:space="preserve"> </w:t>
      </w:r>
      <w:r w:rsidR="000D7FA0" w:rsidRPr="000D7FA0">
        <w:t xml:space="preserve">This amendment is proposed for consent at the plenary meeting in Geneva, </w:t>
      </w:r>
      <w:r w:rsidR="004D465F">
        <w:t>22 June - 3 July 2015</w:t>
      </w:r>
      <w:r w:rsidR="000D7FA0" w:rsidRPr="000D7FA0">
        <w:t>.</w:t>
      </w:r>
    </w:p>
    <w:p w:rsidR="006E4D99" w:rsidRDefault="006E4D99">
      <w:pPr>
        <w:tabs>
          <w:tab w:val="clear" w:pos="794"/>
          <w:tab w:val="clear" w:pos="1191"/>
          <w:tab w:val="clear" w:pos="1985"/>
        </w:tabs>
      </w:pPr>
    </w:p>
    <w:p w:rsidR="006E4D99" w:rsidRDefault="006E4D99">
      <w:pPr>
        <w:tabs>
          <w:tab w:val="clear" w:pos="794"/>
          <w:tab w:val="clear" w:pos="1191"/>
          <w:tab w:val="clear" w:pos="1985"/>
        </w:tabs>
      </w:pPr>
    </w:p>
    <w:p w:rsidR="006E4D99" w:rsidRDefault="006E4D99">
      <w:pPr>
        <w:tabs>
          <w:tab w:val="clear" w:pos="794"/>
          <w:tab w:val="clear" w:pos="1191"/>
          <w:tab w:val="clear" w:pos="1985"/>
        </w:tabs>
        <w:rPr>
          <w:rFonts w:eastAsia="MS Mincho"/>
          <w:color w:val="000000"/>
        </w:rPr>
      </w:pPr>
    </w:p>
    <w:p w:rsidR="006E4D99" w:rsidRPr="000D1C5B" w:rsidRDefault="000D1C5B" w:rsidP="000D1C5B">
      <w:pPr>
        <w:pStyle w:val="RecNo"/>
        <w:pageBreakBefore/>
      </w:pPr>
      <w:r w:rsidRPr="000D1C5B">
        <w:lastRenderedPageBreak/>
        <w:t>Draft Amendment 2 to Recommendation ITU-T G.8273.2/Y.1368.2 (2014)</w:t>
      </w:r>
    </w:p>
    <w:p w:rsidR="006E4D99" w:rsidRPr="000D1C5B" w:rsidRDefault="006E4D99" w:rsidP="000D1C5B">
      <w:pPr>
        <w:pStyle w:val="Rectitle"/>
      </w:pPr>
      <w:r w:rsidRPr="000D1C5B">
        <w:t xml:space="preserve"> </w:t>
      </w:r>
      <w:r w:rsidR="00AF6928" w:rsidRPr="000D1C5B">
        <w:t>Timing characteristics of telecom boundary clocks</w:t>
      </w:r>
      <w:r w:rsidR="00AF6928" w:rsidRPr="000D1C5B">
        <w:br/>
        <w:t>and telecom time slave clocks</w:t>
      </w:r>
      <w:r w:rsidR="000D1C5B" w:rsidRPr="000D1C5B">
        <w:t xml:space="preserve">: </w:t>
      </w:r>
      <w:bookmarkStart w:id="12" w:name="_Toc111276012"/>
      <w:r w:rsidR="000D1C5B" w:rsidRPr="000D1C5B">
        <w:t>Amendment </w:t>
      </w:r>
      <w:bookmarkEnd w:id="12"/>
      <w:r w:rsidR="00B70473">
        <w:t>2</w:t>
      </w:r>
    </w:p>
    <w:p w:rsidR="006E4D99" w:rsidRDefault="006E4D99">
      <w:pPr>
        <w:pStyle w:val="RecRef1"/>
      </w:pPr>
    </w:p>
    <w:p w:rsidR="006E4D99" w:rsidRDefault="006E4D99">
      <w:pPr>
        <w:pStyle w:val="Headingb"/>
        <w:rPr>
          <w:rFonts w:eastAsia="MS Mincho"/>
        </w:rPr>
      </w:pPr>
      <w:bookmarkStart w:id="13" w:name="_Toc354195993"/>
      <w:bookmarkStart w:id="14" w:name="_Toc354222548"/>
      <w:bookmarkStart w:id="15" w:name="_Toc354280643"/>
      <w:bookmarkStart w:id="16" w:name="_Toc354280798"/>
      <w:bookmarkStart w:id="17" w:name="_Toc354281215"/>
      <w:bookmarkStart w:id="18" w:name="_Toc354283959"/>
      <w:bookmarkStart w:id="19" w:name="_Toc354284231"/>
      <w:bookmarkStart w:id="20" w:name="_Toc354988664"/>
      <w:bookmarkStart w:id="21" w:name="_Toc354988792"/>
      <w:bookmarkStart w:id="22" w:name="_Toc354991302"/>
      <w:bookmarkStart w:id="23" w:name="_Toc374333885"/>
      <w:r>
        <w:rPr>
          <w:rFonts w:eastAsia="MS Mincho"/>
        </w:rPr>
        <w:t>Summary</w:t>
      </w:r>
    </w:p>
    <w:p w:rsidR="00552841" w:rsidRDefault="000D1C5B">
      <w:r w:rsidRPr="000D1C5B">
        <w:t>Amendment 2 to Recommendation ITU-T G.8273.2/Y.1368.2 (2014)</w:t>
      </w:r>
      <w:r w:rsidR="005E583B">
        <w:t>:</w:t>
      </w:r>
      <w:r>
        <w:t xml:space="preserve"> </w:t>
      </w:r>
    </w:p>
    <w:p w:rsidR="00552841" w:rsidRPr="00552841" w:rsidRDefault="00552841" w:rsidP="00552841">
      <w:pPr>
        <w:pStyle w:val="ListParagraph"/>
        <w:numPr>
          <w:ilvl w:val="0"/>
          <w:numId w:val="46"/>
        </w:numPr>
        <w:rPr>
          <w:rFonts w:eastAsia="MS Mincho"/>
          <w:color w:val="000000"/>
        </w:rPr>
      </w:pPr>
      <w:r>
        <w:rPr>
          <w:rFonts w:eastAsia="MS Mincho"/>
          <w:color w:val="000000"/>
        </w:rPr>
        <w:t>Adds ITU-T G.703 in Clause 2</w:t>
      </w:r>
    </w:p>
    <w:p w:rsidR="00552841" w:rsidRPr="00552841" w:rsidRDefault="00552841" w:rsidP="00552841">
      <w:pPr>
        <w:pStyle w:val="ListParagraph"/>
        <w:numPr>
          <w:ilvl w:val="0"/>
          <w:numId w:val="46"/>
        </w:numPr>
        <w:rPr>
          <w:rFonts w:eastAsia="MS Mincho"/>
          <w:color w:val="000000"/>
        </w:rPr>
      </w:pPr>
      <w:r>
        <w:rPr>
          <w:color w:val="000000"/>
        </w:rPr>
        <w:t>A</w:t>
      </w:r>
      <w:r w:rsidR="001B2BF1" w:rsidRPr="00552841">
        <w:rPr>
          <w:color w:val="000000"/>
        </w:rPr>
        <w:t>dds TDEV requirements into</w:t>
      </w:r>
      <w:r w:rsidR="004D465F" w:rsidRPr="00552841">
        <w:rPr>
          <w:color w:val="000000"/>
        </w:rPr>
        <w:t xml:space="preserve"> clause 7.1.2</w:t>
      </w:r>
      <w:r w:rsidR="001B2BF1" w:rsidRPr="00552841">
        <w:rPr>
          <w:color w:val="000000"/>
        </w:rPr>
        <w:t xml:space="preserve"> and Annex C.2.1.</w:t>
      </w:r>
      <w:r w:rsidR="00BC3152">
        <w:rPr>
          <w:color w:val="000000"/>
        </w:rPr>
        <w:t>2</w:t>
      </w:r>
      <w:r w:rsidR="001B2BF1" w:rsidRPr="00552841">
        <w:rPr>
          <w:color w:val="000000"/>
        </w:rPr>
        <w:t xml:space="preserve"> </w:t>
      </w:r>
    </w:p>
    <w:p w:rsidR="00552841" w:rsidRPr="00552841" w:rsidRDefault="00552841" w:rsidP="00552841">
      <w:pPr>
        <w:pStyle w:val="ListParagraph"/>
        <w:numPr>
          <w:ilvl w:val="0"/>
          <w:numId w:val="46"/>
        </w:numPr>
        <w:rPr>
          <w:rFonts w:eastAsia="MS Mincho"/>
          <w:color w:val="000000"/>
        </w:rPr>
      </w:pPr>
      <w:r>
        <w:rPr>
          <w:color w:val="000000"/>
        </w:rPr>
        <w:t>A</w:t>
      </w:r>
      <w:r w:rsidR="002D0AF6" w:rsidRPr="00552841">
        <w:rPr>
          <w:color w:val="000000"/>
        </w:rPr>
        <w:t>dd</w:t>
      </w:r>
      <w:r w:rsidR="001B2BF1" w:rsidRPr="00552841">
        <w:rPr>
          <w:color w:val="000000"/>
        </w:rPr>
        <w:t>s</w:t>
      </w:r>
      <w:r w:rsidR="002D0AF6" w:rsidRPr="00552841">
        <w:rPr>
          <w:color w:val="000000"/>
        </w:rPr>
        <w:t xml:space="preserve"> a note in </w:t>
      </w:r>
      <w:r w:rsidR="004D465F">
        <w:t>clause 7.3</w:t>
      </w:r>
      <w:r w:rsidR="009F2983">
        <w:t>.1</w:t>
      </w:r>
      <w:r w:rsidR="00D63271">
        <w:t xml:space="preserve"> and in Annex C.2.3.1</w:t>
      </w:r>
      <w:r w:rsidR="001B2BF1" w:rsidRPr="00552841">
        <w:rPr>
          <w:color w:val="000000"/>
        </w:rPr>
        <w:t xml:space="preserve"> </w:t>
      </w:r>
    </w:p>
    <w:p w:rsidR="00552841" w:rsidRPr="00552841" w:rsidRDefault="00552841" w:rsidP="00552841">
      <w:pPr>
        <w:pStyle w:val="ListParagraph"/>
        <w:numPr>
          <w:ilvl w:val="0"/>
          <w:numId w:val="46"/>
        </w:numPr>
        <w:rPr>
          <w:rFonts w:eastAsia="MS Mincho"/>
          <w:color w:val="000000"/>
        </w:rPr>
      </w:pPr>
      <w:r>
        <w:t>Replaces clause 7.4.2 and subclauses 7.4.2.1 and 7.4.2.2</w:t>
      </w:r>
    </w:p>
    <w:p w:rsidR="00552841" w:rsidRPr="00552841" w:rsidRDefault="00552841" w:rsidP="00552841">
      <w:pPr>
        <w:pStyle w:val="ListParagraph"/>
        <w:numPr>
          <w:ilvl w:val="0"/>
          <w:numId w:val="46"/>
        </w:numPr>
        <w:rPr>
          <w:rFonts w:eastAsia="MS Mincho"/>
          <w:color w:val="000000"/>
        </w:rPr>
      </w:pPr>
      <w:r>
        <w:t>Replaces Annex B</w:t>
      </w:r>
    </w:p>
    <w:p w:rsidR="00552841" w:rsidRPr="00552841" w:rsidRDefault="00552841" w:rsidP="00552841">
      <w:pPr>
        <w:pStyle w:val="ListParagraph"/>
        <w:numPr>
          <w:ilvl w:val="0"/>
          <w:numId w:val="46"/>
        </w:numPr>
        <w:rPr>
          <w:rFonts w:eastAsia="MS Mincho"/>
          <w:color w:val="000000"/>
        </w:rPr>
      </w:pPr>
      <w:r>
        <w:t>Replaces clause C.2.4.2 and subclauses C.2.4.2.1 and C.2.4.2.2</w:t>
      </w:r>
    </w:p>
    <w:p w:rsidR="00552841" w:rsidRPr="00552841" w:rsidRDefault="00552841" w:rsidP="00552841">
      <w:pPr>
        <w:pStyle w:val="ListParagraph"/>
        <w:numPr>
          <w:ilvl w:val="0"/>
          <w:numId w:val="46"/>
        </w:numPr>
        <w:rPr>
          <w:rFonts w:eastAsia="MS Mincho"/>
          <w:color w:val="000000"/>
        </w:rPr>
      </w:pPr>
      <w:r>
        <w:t>Adds clause C.2.6</w:t>
      </w:r>
    </w:p>
    <w:p w:rsidR="00552841" w:rsidRPr="00552841" w:rsidRDefault="00552841" w:rsidP="00552841">
      <w:pPr>
        <w:pStyle w:val="ListParagraph"/>
        <w:numPr>
          <w:ilvl w:val="0"/>
          <w:numId w:val="46"/>
        </w:numPr>
        <w:rPr>
          <w:rFonts w:eastAsia="MS Mincho"/>
          <w:color w:val="000000"/>
        </w:rPr>
      </w:pPr>
      <w:r>
        <w:t xml:space="preserve">Replaces </w:t>
      </w:r>
      <w:r w:rsidRPr="00552841">
        <w:rPr>
          <w:color w:val="000000"/>
        </w:rPr>
        <w:t>Appendix</w:t>
      </w:r>
      <w:r>
        <w:rPr>
          <w:color w:val="000000"/>
        </w:rPr>
        <w:t xml:space="preserve"> II</w:t>
      </w:r>
    </w:p>
    <w:p w:rsidR="006E4D99" w:rsidRPr="00552841" w:rsidRDefault="00552841" w:rsidP="00552841">
      <w:pPr>
        <w:pStyle w:val="ListParagraph"/>
        <w:numPr>
          <w:ilvl w:val="0"/>
          <w:numId w:val="46"/>
        </w:numPr>
        <w:rPr>
          <w:rFonts w:eastAsia="MS Mincho"/>
          <w:color w:val="000000"/>
        </w:rPr>
      </w:pPr>
      <w:r>
        <w:rPr>
          <w:color w:val="000000"/>
        </w:rPr>
        <w:t>R</w:t>
      </w:r>
      <w:r w:rsidR="001B2BF1" w:rsidRPr="00552841">
        <w:rPr>
          <w:color w:val="000000"/>
        </w:rPr>
        <w:t>emoves Appendix IV and V.</w:t>
      </w:r>
    </w:p>
    <w:p w:rsidR="006E4D99" w:rsidRDefault="006E4D99"/>
    <w:bookmarkEnd w:id="13"/>
    <w:bookmarkEnd w:id="14"/>
    <w:bookmarkEnd w:id="15"/>
    <w:bookmarkEnd w:id="16"/>
    <w:bookmarkEnd w:id="17"/>
    <w:bookmarkEnd w:id="18"/>
    <w:bookmarkEnd w:id="19"/>
    <w:bookmarkEnd w:id="20"/>
    <w:bookmarkEnd w:id="21"/>
    <w:bookmarkEnd w:id="22"/>
    <w:bookmarkEnd w:id="23"/>
    <w:p w:rsidR="000D1C5B" w:rsidRPr="000D1C5B" w:rsidRDefault="000D1C5B" w:rsidP="000D1C5B">
      <w:pPr>
        <w:pStyle w:val="RecNo"/>
        <w:pageBreakBefore/>
      </w:pPr>
      <w:r w:rsidRPr="000D1C5B">
        <w:lastRenderedPageBreak/>
        <w:t>Draft Amendment 2 to Recommendation ITU-T G.8273.2/Y.1368.2 (2014)</w:t>
      </w:r>
    </w:p>
    <w:p w:rsidR="000D1C5B" w:rsidRPr="000D1C5B" w:rsidRDefault="000D1C5B" w:rsidP="000D1C5B">
      <w:pPr>
        <w:pStyle w:val="Rectitle"/>
      </w:pPr>
      <w:r w:rsidRPr="000D1C5B">
        <w:t xml:space="preserve"> Timing characteristics of telecom boundary clocks</w:t>
      </w:r>
      <w:r w:rsidRPr="000D1C5B">
        <w:br/>
        <w:t>and telecom time slave clocks: Amendment </w:t>
      </w:r>
      <w:r w:rsidR="00B70473">
        <w:t>2</w:t>
      </w:r>
    </w:p>
    <w:p w:rsidR="004D7C26" w:rsidRDefault="004D7C26" w:rsidP="004D7C26">
      <w:pPr>
        <w:pStyle w:val="Heading1"/>
      </w:pPr>
      <w:r>
        <w:t>Clause 2</w:t>
      </w:r>
    </w:p>
    <w:p w:rsidR="004D7C26" w:rsidRDefault="004D7C26" w:rsidP="004D7C26">
      <w:r>
        <w:t>Add the following reference in clause 2:</w:t>
      </w:r>
    </w:p>
    <w:p w:rsidR="004D7C26" w:rsidRPr="004D7C26" w:rsidRDefault="004D7C26" w:rsidP="004D7C26">
      <w:pPr>
        <w:pStyle w:val="Reftext"/>
        <w:ind w:left="1985" w:hanging="1985"/>
        <w:rPr>
          <w:i/>
          <w:iCs/>
        </w:rPr>
      </w:pPr>
      <w:r>
        <w:t>[ITU-T G.703</w:t>
      </w:r>
      <w:r w:rsidRPr="00FF1FA4">
        <w:t>]</w:t>
      </w:r>
      <w:r w:rsidRPr="00FF1FA4">
        <w:tab/>
      </w:r>
      <w:r w:rsidRPr="00FF1FA4">
        <w:tab/>
      </w:r>
      <w:r>
        <w:t xml:space="preserve">Recommendation ITU-T G.703 </w:t>
      </w:r>
      <w:r w:rsidRPr="00FF1FA4">
        <w:t>(</w:t>
      </w:r>
      <w:r>
        <w:t>2001</w:t>
      </w:r>
      <w:r w:rsidRPr="00FF1FA4">
        <w:t xml:space="preserve">), </w:t>
      </w:r>
      <w:r w:rsidRPr="004D7C26">
        <w:rPr>
          <w:i/>
          <w:iCs/>
        </w:rPr>
        <w:t>Physical/electrical characteristics of</w:t>
      </w:r>
      <w:r>
        <w:rPr>
          <w:i/>
          <w:iCs/>
        </w:rPr>
        <w:t xml:space="preserve"> </w:t>
      </w:r>
      <w:r w:rsidRPr="004D7C26">
        <w:rPr>
          <w:i/>
          <w:iCs/>
        </w:rPr>
        <w:t>hierarchical digital interfaces</w:t>
      </w:r>
    </w:p>
    <w:p w:rsidR="00D63271" w:rsidRDefault="00D63271" w:rsidP="00D63271">
      <w:pPr>
        <w:pStyle w:val="Heading1"/>
      </w:pPr>
      <w:r>
        <w:t xml:space="preserve">Clause </w:t>
      </w:r>
      <w:r>
        <w:rPr>
          <w:bCs/>
        </w:rPr>
        <w:t>7.1.2</w:t>
      </w:r>
    </w:p>
    <w:p w:rsidR="00D63271" w:rsidRDefault="00D63271" w:rsidP="00D63271">
      <w:r>
        <w:t>Replace the following text:</w:t>
      </w:r>
    </w:p>
    <w:p w:rsidR="00D63271" w:rsidRPr="002576AC" w:rsidRDefault="00D63271" w:rsidP="00D63271">
      <w:r>
        <w:t>“</w:t>
      </w:r>
      <w:r w:rsidRPr="002576AC">
        <w:t>The applicable TDEV is for further study.</w:t>
      </w:r>
    </w:p>
    <w:p w:rsidR="00D63271" w:rsidRPr="002576AC" w:rsidRDefault="00D63271" w:rsidP="00D63271">
      <w:r w:rsidRPr="002576AC">
        <w:t>Note1 – This Recommendation is expected to include a normative TDEV mask similar to that contained in Appendix IV in order to constrain the frequency distribution of the noise. It is strongly suggested that implementations based on this recommendation limit dynamic time error noise generation to meet at least the requirements of the TDEV mask contained in Appendix IV.</w:t>
      </w:r>
      <w:r>
        <w:t>”</w:t>
      </w:r>
    </w:p>
    <w:p w:rsidR="00D63271" w:rsidRDefault="00D63271" w:rsidP="00D63271">
      <w:pPr>
        <w:pStyle w:val="Heading1"/>
        <w:numPr>
          <w:ilvl w:val="0"/>
          <w:numId w:val="0"/>
        </w:numPr>
        <w:rPr>
          <w:b w:val="0"/>
        </w:rPr>
      </w:pPr>
      <w:r>
        <w:rPr>
          <w:b w:val="0"/>
        </w:rPr>
        <w:t>With</w:t>
      </w:r>
      <w:r w:rsidR="001B2BF1">
        <w:rPr>
          <w:b w:val="0"/>
        </w:rPr>
        <w:t>:</w:t>
      </w:r>
    </w:p>
    <w:p w:rsidR="001B2BF1" w:rsidRPr="00FF1FA4" w:rsidRDefault="001B2BF1" w:rsidP="001B2BF1">
      <w:pPr>
        <w:pStyle w:val="Normalaftertitle"/>
      </w:pPr>
      <w:r>
        <w:t>“</w:t>
      </w:r>
      <w:r w:rsidRPr="00FF1FA4">
        <w:t xml:space="preserve">For a Class A or Class B T-BC containing an EEC-Option 1 clock, and operating in locked mode synchronized to both a wander-free time reference at the PTP input and a wander-free frequency reference at the SyncE/SDH input, the TDEV at the PTP and 1 PPS outputs, measured through a first-order low-pass filter with bandwidth of 0.1Hz, should meet the limits in Table </w:t>
      </w:r>
      <w:r>
        <w:t>7-5</w:t>
      </w:r>
      <w:r w:rsidRPr="00FF1FA4">
        <w:t xml:space="preserve"> under constant temperature (within ±1K). </w:t>
      </w:r>
    </w:p>
    <w:p w:rsidR="001B2BF1" w:rsidRPr="00FF1FA4" w:rsidRDefault="001B2BF1" w:rsidP="001B2BF1">
      <w:pPr>
        <w:pStyle w:val="TableNoTitle0"/>
      </w:pPr>
      <w:r w:rsidRPr="00FF1FA4">
        <w:t xml:space="preserve">Table </w:t>
      </w:r>
      <w:r>
        <w:t>7-5</w:t>
      </w:r>
      <w:r w:rsidRPr="00FF1FA4">
        <w:t xml:space="preserve"> – Dynamic time error noise generation (TDEV) for T-BC</w:t>
      </w:r>
      <w:r w:rsidRPr="00FF1FA4">
        <w:br/>
        <w:t>with constant temperature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852"/>
      </w:tblGrid>
      <w:tr w:rsidR="001B2BF1" w:rsidRPr="00B5772A" w:rsidTr="00935858">
        <w:trPr>
          <w:cantSplit/>
          <w:jc w:val="center"/>
        </w:trPr>
        <w:tc>
          <w:tcPr>
            <w:tcW w:w="3119" w:type="dxa"/>
          </w:tcPr>
          <w:p w:rsidR="001B2BF1" w:rsidRPr="00FF1FA4" w:rsidRDefault="001B2BF1" w:rsidP="00935858">
            <w:pPr>
              <w:pStyle w:val="Tablehead"/>
            </w:pPr>
            <w:r w:rsidRPr="00FF1FA4">
              <w:t>TDEV limit [ns]</w:t>
            </w:r>
          </w:p>
        </w:tc>
        <w:tc>
          <w:tcPr>
            <w:tcW w:w="3852" w:type="dxa"/>
          </w:tcPr>
          <w:p w:rsidR="001B2BF1" w:rsidRPr="00FF1FA4" w:rsidRDefault="001B2BF1" w:rsidP="00935858">
            <w:pPr>
              <w:pStyle w:val="Tablehead"/>
              <w:rPr>
                <w:bCs/>
              </w:rPr>
            </w:pPr>
            <w:r w:rsidRPr="00FF1FA4">
              <w:rPr>
                <w:bCs/>
              </w:rPr>
              <w:t>Observation interval τ [s]</w:t>
            </w:r>
          </w:p>
        </w:tc>
      </w:tr>
      <w:tr w:rsidR="001B2BF1" w:rsidRPr="00B5772A" w:rsidTr="00935858">
        <w:trPr>
          <w:cantSplit/>
          <w:jc w:val="center"/>
        </w:trPr>
        <w:tc>
          <w:tcPr>
            <w:tcW w:w="3119" w:type="dxa"/>
          </w:tcPr>
          <w:p w:rsidR="001B2BF1" w:rsidRPr="00FF1FA4" w:rsidRDefault="001B2BF1" w:rsidP="00935858">
            <w:pPr>
              <w:pStyle w:val="Tabletext"/>
              <w:jc w:val="center"/>
            </w:pPr>
            <w:r w:rsidRPr="00FF1FA4">
              <w:t>4</w:t>
            </w:r>
          </w:p>
        </w:tc>
        <w:tc>
          <w:tcPr>
            <w:tcW w:w="3852" w:type="dxa"/>
          </w:tcPr>
          <w:p w:rsidR="001B2BF1" w:rsidRPr="00FF1FA4" w:rsidRDefault="001B2BF1" w:rsidP="00935858">
            <w:pPr>
              <w:pStyle w:val="NormalWeb"/>
              <w:spacing w:before="2" w:after="2"/>
              <w:ind w:left="360"/>
              <w:jc w:val="center"/>
              <w:rPr>
                <w:rFonts w:ascii="TimesNewRoman" w:hAnsi="TimesNewRoman"/>
                <w:sz w:val="22"/>
                <w:szCs w:val="22"/>
                <w:lang w:val="en-GB"/>
              </w:rPr>
            </w:pPr>
            <w:r w:rsidRPr="00FF1FA4">
              <w:rPr>
                <w:rFonts w:ascii="TimesNewRoman" w:hAnsi="TimesNewRoman"/>
                <w:i/>
                <w:iCs/>
                <w:sz w:val="22"/>
                <w:szCs w:val="22"/>
                <w:lang w:val="en-GB"/>
              </w:rPr>
              <w:t>m</w:t>
            </w:r>
            <w:r w:rsidRPr="00FF1FA4">
              <w:rPr>
                <w:rFonts w:ascii="TimesNewRoman" w:hAnsi="TimesNewRoman"/>
                <w:sz w:val="22"/>
                <w:szCs w:val="22"/>
                <w:lang w:val="en-GB"/>
              </w:rPr>
              <w:t xml:space="preserve"> &lt; </w:t>
            </w:r>
            <w:r w:rsidRPr="00FF1FA4">
              <w:rPr>
                <w:rFonts w:ascii="TimesNewRoman" w:hAnsi="TimesNewRoman" w:hint="eastAsia"/>
                <w:sz w:val="22"/>
                <w:szCs w:val="22"/>
                <w:lang w:val="en-GB"/>
              </w:rPr>
              <w:t>τ</w:t>
            </w:r>
            <w:r w:rsidRPr="00FF1FA4">
              <w:rPr>
                <w:rFonts w:ascii="TimesNewRoman" w:hAnsi="TimesNewRoman"/>
                <w:sz w:val="22"/>
                <w:szCs w:val="22"/>
                <w:lang w:val="en-GB"/>
              </w:rPr>
              <w:t xml:space="preserve"> ≤ 1000</w:t>
            </w:r>
          </w:p>
          <w:p w:rsidR="001B2BF1" w:rsidRPr="00FF1FA4" w:rsidRDefault="001B2BF1" w:rsidP="00935858">
            <w:pPr>
              <w:pStyle w:val="NormalWeb"/>
              <w:spacing w:before="2" w:after="2"/>
              <w:ind w:left="360"/>
              <w:jc w:val="center"/>
              <w:rPr>
                <w:rFonts w:ascii="TimesNewRoman" w:hAnsi="TimesNewRoman"/>
                <w:sz w:val="22"/>
                <w:szCs w:val="22"/>
                <w:lang w:val="en-GB"/>
              </w:rPr>
            </w:pPr>
            <w:r w:rsidRPr="00FF1FA4">
              <w:rPr>
                <w:rFonts w:ascii="TimesNewRoman" w:hAnsi="TimesNewRoman"/>
                <w:sz w:val="22"/>
                <w:szCs w:val="22"/>
                <w:lang w:val="en-GB"/>
              </w:rPr>
              <w:t>(Notes 1, 2)</w:t>
            </w:r>
          </w:p>
        </w:tc>
      </w:tr>
      <w:tr w:rsidR="001B2BF1" w:rsidRPr="00B5772A" w:rsidTr="00935858">
        <w:trPr>
          <w:cantSplit/>
          <w:jc w:val="center"/>
        </w:trPr>
        <w:tc>
          <w:tcPr>
            <w:tcW w:w="6971" w:type="dxa"/>
            <w:gridSpan w:val="2"/>
            <w:tcBorders>
              <w:bottom w:val="nil"/>
            </w:tcBorders>
          </w:tcPr>
          <w:p w:rsidR="001B2BF1" w:rsidRPr="00FF1FA4" w:rsidRDefault="001B2BF1" w:rsidP="00935858">
            <w:pPr>
              <w:pStyle w:val="Tabletext"/>
            </w:pPr>
            <w:r w:rsidRPr="00FF1FA4">
              <w:t xml:space="preserve">NOTE 1 – </w:t>
            </w:r>
            <w:r w:rsidRPr="00FF1FA4">
              <w:rPr>
                <w:rFonts w:ascii="TimesNewRoman" w:hAnsi="TimesNewRoman"/>
                <w:szCs w:val="22"/>
              </w:rPr>
              <w:t xml:space="preserve">The minimum </w:t>
            </w:r>
            <w:r w:rsidRPr="00FF1FA4">
              <w:rPr>
                <w:rFonts w:ascii="TimesNewRoman" w:hAnsi="TimesNewRoman"/>
                <w:szCs w:val="22"/>
              </w:rPr>
              <w:sym w:font="Symbol" w:char="F074"/>
            </w:r>
            <w:r w:rsidRPr="00FF1FA4">
              <w:rPr>
                <w:rFonts w:ascii="TimesNewRoman" w:hAnsi="TimesNewRoman"/>
                <w:szCs w:val="22"/>
              </w:rPr>
              <w:t xml:space="preserve"> value </w:t>
            </w:r>
            <w:r w:rsidRPr="00FF1FA4">
              <w:rPr>
                <w:rFonts w:ascii="TimesNewRoman" w:hAnsi="TimesNewRoman"/>
                <w:i/>
                <w:iCs/>
                <w:szCs w:val="22"/>
              </w:rPr>
              <w:t>m</w:t>
            </w:r>
            <w:r w:rsidRPr="00FF1FA4">
              <w:rPr>
                <w:rFonts w:ascii="TimesNewRoman" w:hAnsi="TimesNewRoman"/>
                <w:szCs w:val="22"/>
              </w:rPr>
              <w:t xml:space="preserve"> is determined by packet rate of 16 packet per second (</w:t>
            </w:r>
            <w:r w:rsidRPr="00FF1FA4">
              <w:rPr>
                <w:rFonts w:ascii="TimesNewRoman" w:hAnsi="TimesNewRoman"/>
                <w:i/>
                <w:iCs/>
                <w:szCs w:val="22"/>
              </w:rPr>
              <w:t>m</w:t>
            </w:r>
            <w:r w:rsidRPr="00FF1FA4">
              <w:rPr>
                <w:rFonts w:ascii="TimesNewRoman" w:hAnsi="TimesNewRoman"/>
                <w:szCs w:val="22"/>
              </w:rPr>
              <w:t>=1/16) or 1 PPS signal (</w:t>
            </w:r>
            <w:r w:rsidRPr="00FF1FA4">
              <w:rPr>
                <w:rFonts w:ascii="TimesNewRoman" w:hAnsi="TimesNewRoman"/>
                <w:i/>
                <w:iCs/>
                <w:szCs w:val="22"/>
              </w:rPr>
              <w:t>m</w:t>
            </w:r>
            <w:r w:rsidRPr="00FF1FA4">
              <w:rPr>
                <w:rFonts w:ascii="TimesNewRoman" w:hAnsi="TimesNewRoman"/>
                <w:szCs w:val="22"/>
              </w:rPr>
              <w:t>=1)</w:t>
            </w:r>
          </w:p>
        </w:tc>
      </w:tr>
      <w:tr w:rsidR="001B2BF1" w:rsidRPr="00B5772A" w:rsidTr="00935858">
        <w:trPr>
          <w:cantSplit/>
          <w:jc w:val="center"/>
        </w:trPr>
        <w:tc>
          <w:tcPr>
            <w:tcW w:w="6971" w:type="dxa"/>
            <w:gridSpan w:val="2"/>
            <w:tcBorders>
              <w:top w:val="nil"/>
            </w:tcBorders>
          </w:tcPr>
          <w:p w:rsidR="001B2BF1" w:rsidRPr="00FF1FA4" w:rsidRDefault="001B2BF1" w:rsidP="00935858">
            <w:pPr>
              <w:pStyle w:val="Tabletext"/>
            </w:pPr>
            <w:r w:rsidRPr="00FF1FA4">
              <w:t xml:space="preserve">NOTE 2 – </w:t>
            </w:r>
            <w:r w:rsidRPr="00FF1FA4">
              <w:rPr>
                <w:rFonts w:ascii="TimesNewRoman" w:hAnsi="TimesNewRoman"/>
                <w:szCs w:val="22"/>
              </w:rPr>
              <w:t>The values in this table are valid for 1 PPS, 1</w:t>
            </w:r>
            <w:r w:rsidRPr="00FF1FA4">
              <w:rPr>
                <w:rFonts w:ascii="TimesNewRoman" w:hAnsi="TimesNewRoman" w:hint="eastAsia"/>
                <w:szCs w:val="22"/>
              </w:rPr>
              <w:t> </w:t>
            </w:r>
            <w:r w:rsidRPr="00FF1FA4">
              <w:rPr>
                <w:rFonts w:ascii="TimesNewRoman" w:hAnsi="TimesNewRoman"/>
                <w:szCs w:val="22"/>
              </w:rPr>
              <w:t>GbE and 10</w:t>
            </w:r>
            <w:r w:rsidRPr="00FF1FA4">
              <w:rPr>
                <w:rFonts w:ascii="TimesNewRoman" w:hAnsi="TimesNewRoman" w:hint="eastAsia"/>
                <w:szCs w:val="22"/>
              </w:rPr>
              <w:t> </w:t>
            </w:r>
            <w:r w:rsidRPr="00FF1FA4">
              <w:rPr>
                <w:rFonts w:ascii="TimesNewRoman" w:hAnsi="TimesNewRoman"/>
                <w:szCs w:val="22"/>
              </w:rPr>
              <w:t>GbE interfaces. Interfaces for rates above 10</w:t>
            </w:r>
            <w:r w:rsidRPr="00FF1FA4">
              <w:rPr>
                <w:rFonts w:ascii="TimesNewRoman" w:hAnsi="TimesNewRoman" w:hint="eastAsia"/>
                <w:szCs w:val="22"/>
              </w:rPr>
              <w:t> </w:t>
            </w:r>
            <w:r w:rsidRPr="00FF1FA4">
              <w:rPr>
                <w:rFonts w:ascii="TimesNewRoman" w:hAnsi="TimesNewRoman"/>
                <w:szCs w:val="22"/>
              </w:rPr>
              <w:t>GbE are for further study.</w:t>
            </w:r>
          </w:p>
        </w:tc>
      </w:tr>
    </w:tbl>
    <w:p w:rsidR="001B2BF1" w:rsidRPr="00FF1FA4" w:rsidRDefault="001B2BF1" w:rsidP="001B2BF1">
      <w:r>
        <w:t>”</w:t>
      </w:r>
    </w:p>
    <w:p w:rsidR="003E58C9" w:rsidRDefault="003E58C9" w:rsidP="003E58C9">
      <w:pPr>
        <w:pStyle w:val="Heading1"/>
      </w:pPr>
      <w:r>
        <w:t xml:space="preserve">Clause </w:t>
      </w:r>
      <w:r w:rsidR="00D63271">
        <w:rPr>
          <w:bCs/>
        </w:rPr>
        <w:t>7.3.1</w:t>
      </w:r>
    </w:p>
    <w:p w:rsidR="0079506C" w:rsidRDefault="0079506C" w:rsidP="00AF6928">
      <w:r>
        <w:t xml:space="preserve">Add the following note </w:t>
      </w:r>
      <w:r w:rsidR="00D63271">
        <w:t xml:space="preserve">after the last </w:t>
      </w:r>
      <w:r w:rsidR="00D1468F">
        <w:t>note in the clause 7.3.1</w:t>
      </w:r>
      <w:r>
        <w:t>:</w:t>
      </w:r>
    </w:p>
    <w:p w:rsidR="00EF6CC4" w:rsidRDefault="00D63271" w:rsidP="00EF6CC4">
      <w:r w:rsidRPr="009F2983">
        <w:t>“</w:t>
      </w:r>
      <w:r w:rsidR="00EF6CC4" w:rsidRPr="009F2983">
        <w:t>NOTE – At all permissible noise input levels, the gain peaking of 0.1dB from PTP to PTP, or 0.2dB from physical layer frequency to PTP is far lower than the permitted noise generation of the clock at the PTP and 1pps outputs.  Therefore it may</w:t>
      </w:r>
      <w:r w:rsidR="005E5131" w:rsidRPr="009F2983">
        <w:t xml:space="preserve"> be</w:t>
      </w:r>
      <w:r w:rsidR="00EF6CC4" w:rsidRPr="009F2983">
        <w:t xml:space="preserve"> </w:t>
      </w:r>
      <w:r w:rsidR="005E5131" w:rsidRPr="009F2983">
        <w:t>difficult</w:t>
      </w:r>
      <w:r w:rsidR="00EF6CC4" w:rsidRPr="009F2983">
        <w:t xml:space="preserve"> to verify the gain peaking at either the PTP or 1pps outputs.”</w:t>
      </w:r>
    </w:p>
    <w:p w:rsidR="00D76B66" w:rsidRDefault="00D76B66" w:rsidP="00D76B66">
      <w:pPr>
        <w:pStyle w:val="Heading1"/>
        <w:rPr>
          <w:bCs/>
        </w:rPr>
      </w:pPr>
      <w:r>
        <w:lastRenderedPageBreak/>
        <w:t xml:space="preserve">Clause </w:t>
      </w:r>
      <w:r>
        <w:rPr>
          <w:bCs/>
        </w:rPr>
        <w:t>7.4.2</w:t>
      </w:r>
    </w:p>
    <w:p w:rsidR="00D76B66" w:rsidRDefault="00D76B66" w:rsidP="00D76B66">
      <w:r>
        <w:t>Replace clause 7.4.2 and subclauses 7.4.2.1 and 7.4.2.2 with the following text:</w:t>
      </w:r>
    </w:p>
    <w:p w:rsidR="00D76B66" w:rsidRPr="00FF1FA4" w:rsidRDefault="00D76B66" w:rsidP="00D76B66">
      <w:pPr>
        <w:pStyle w:val="Heading3"/>
        <w:numPr>
          <w:ilvl w:val="0"/>
          <w:numId w:val="0"/>
        </w:numPr>
      </w:pPr>
      <w:r>
        <w:t>“</w:t>
      </w:r>
      <w:r w:rsidRPr="00FF1FA4">
        <w:t>7.4.2</w:t>
      </w:r>
      <w:r w:rsidRPr="00FF1FA4">
        <w:tab/>
        <w:t>Holdover performance</w:t>
      </w:r>
    </w:p>
    <w:p w:rsidR="00D76B66" w:rsidRPr="00FF1FA4" w:rsidRDefault="00D76B66" w:rsidP="00D76B66">
      <w:r w:rsidRPr="00FF1FA4">
        <w:t xml:space="preserve">When a T-BC loses its </w:t>
      </w:r>
      <w:r w:rsidR="00CF4F77" w:rsidRPr="0005700D">
        <w:t>PTP</w:t>
      </w:r>
      <w:r w:rsidRPr="0005700D">
        <w:t xml:space="preserve"> input references, it enters the phase/time holdover state. Under these circumstances, the T-BC may either rely on the holdover of a local oscillator, or on a physical layer frequency assistance r</w:t>
      </w:r>
      <w:r w:rsidRPr="00FF1FA4">
        <w:t xml:space="preserve">eference traceable to a primary reference clock (PRC), or on a combination of both. </w:t>
      </w:r>
    </w:p>
    <w:p w:rsidR="00D76B66" w:rsidRPr="00FF1FA4" w:rsidRDefault="00D76B66" w:rsidP="00D76B66">
      <w:pPr>
        <w:rPr>
          <w:szCs w:val="24"/>
        </w:rPr>
      </w:pPr>
      <w:r w:rsidRPr="00FF1FA4">
        <w:t>This requirement reflects the performance of the</w:t>
      </w:r>
      <w:r w:rsidR="00CF4F77">
        <w:t xml:space="preserve"> clock in cases when the PTP </w:t>
      </w:r>
      <w:r w:rsidRPr="00FF1FA4">
        <w:t xml:space="preserve">input is ideal followed by disconnection of the </w:t>
      </w:r>
      <w:r w:rsidR="0005700D">
        <w:t>PTP</w:t>
      </w:r>
      <w:r w:rsidRPr="00FF1FA4">
        <w:t xml:space="preserve"> input. For the case of phase/time holdover requirements based on physical layer frequency</w:t>
      </w:r>
      <w:r>
        <w:t xml:space="preserve"> (</w:t>
      </w:r>
      <w:r w:rsidRPr="003F5422">
        <w:t xml:space="preserve">T-BC performance with physical layer frequency assistance during loss of </w:t>
      </w:r>
      <w:r w:rsidR="00CF4F77" w:rsidRPr="003F5422">
        <w:t>PTP</w:t>
      </w:r>
      <w:r w:rsidRPr="003F5422">
        <w:t xml:space="preserve"> input reference</w:t>
      </w:r>
      <w:r>
        <w:t>)</w:t>
      </w:r>
      <w:r w:rsidRPr="00FF1FA4">
        <w:t>, the frequency physical layer input is ideal.</w:t>
      </w:r>
    </w:p>
    <w:p w:rsidR="00D76B66" w:rsidRDefault="00D76B66" w:rsidP="00D76B66">
      <w:r w:rsidRPr="00FF1FA4">
        <w:t>This requirement bounds the maximum excursions in the output timing signal. Additionally, it restricts the accumulation of the phase movement during input signal impairments or internal disturbances.</w:t>
      </w:r>
    </w:p>
    <w:p w:rsidR="00D76B66" w:rsidRPr="00FF1FA4" w:rsidRDefault="00D76B66" w:rsidP="00D76B66">
      <w:pPr>
        <w:pStyle w:val="Heading4"/>
        <w:numPr>
          <w:ilvl w:val="0"/>
          <w:numId w:val="0"/>
        </w:numPr>
      </w:pPr>
      <w:r w:rsidRPr="00FF1FA4">
        <w:t>7.4.2.1</w:t>
      </w:r>
      <w:r w:rsidRPr="00FF1FA4">
        <w:tab/>
        <w:t>T-BC holdover</w:t>
      </w:r>
    </w:p>
    <w:p w:rsidR="00D76B66" w:rsidRPr="00FF1FA4" w:rsidRDefault="00D76B66" w:rsidP="00D76B66">
      <w:r w:rsidRPr="00FF1FA4">
        <w:t>The phase/time holdover requirements applicable to a T-BC are for further study.</w:t>
      </w:r>
    </w:p>
    <w:p w:rsidR="00D76B66" w:rsidRPr="00FF1FA4" w:rsidRDefault="00D76B66" w:rsidP="00D76B66">
      <w:pPr>
        <w:pStyle w:val="Heading4"/>
        <w:numPr>
          <w:ilvl w:val="0"/>
          <w:numId w:val="0"/>
        </w:numPr>
      </w:pPr>
      <w:r>
        <w:t>7.4.2.2</w:t>
      </w:r>
      <w:r w:rsidRPr="00FF1FA4">
        <w:tab/>
        <w:t xml:space="preserve">T-BC </w:t>
      </w:r>
      <w:r w:rsidR="00CF4F77">
        <w:t>performance with physical layer f</w:t>
      </w:r>
      <w:r>
        <w:t xml:space="preserve">requency assistance during </w:t>
      </w:r>
      <w:r w:rsidR="00CF4F77">
        <w:t>loss of PTP input r</w:t>
      </w:r>
      <w:r>
        <w:t>eference</w:t>
      </w:r>
    </w:p>
    <w:p w:rsidR="00D76B66" w:rsidRDefault="00D76B66" w:rsidP="00D76B66">
      <w:pPr>
        <w:tabs>
          <w:tab w:val="left" w:pos="720"/>
        </w:tabs>
        <w:overflowPunct/>
        <w:autoSpaceDE/>
        <w:adjustRightInd/>
        <w:spacing w:before="0"/>
      </w:pPr>
      <w:r>
        <w:t xml:space="preserve">The phase/time </w:t>
      </w:r>
      <w:r w:rsidRPr="00E732F4">
        <w:t>output will be measured through a first order low-pass filter with bandwidth of 0.1 Hz.</w:t>
      </w:r>
    </w:p>
    <w:p w:rsidR="00D76B66" w:rsidRDefault="00D76B66" w:rsidP="00D76B66">
      <w:r>
        <w:t xml:space="preserve">The phase/time performance during loss of </w:t>
      </w:r>
      <w:r w:rsidR="0005700D">
        <w:t>PTP</w:t>
      </w:r>
      <w:r>
        <w:t xml:space="preserve"> input reference requirements based on physical layer frequency applicable to a T-BC under constant temperatur</w:t>
      </w:r>
      <w:r w:rsidR="00D53D1D">
        <w:t>e conditions is shown in Table 7-</w:t>
      </w:r>
      <w:r w:rsidR="00081305">
        <w:t>6</w:t>
      </w:r>
      <w:r>
        <w:t>.  Under constant temperature conditions the maximum observation interval is 1000 seconds.</w:t>
      </w:r>
    </w:p>
    <w:p w:rsidR="00D76B66" w:rsidRDefault="00BF2CA7" w:rsidP="00D76B66">
      <w:pPr>
        <w:pStyle w:val="TableNoTitle0"/>
        <w:spacing w:before="2"/>
      </w:pPr>
      <w:r>
        <w:t>Table 7-</w:t>
      </w:r>
      <w:r w:rsidR="00081305">
        <w:t>6</w:t>
      </w:r>
      <w:r w:rsidR="00D76B66">
        <w:t xml:space="preserve"> – Performance allowance during loss of </w:t>
      </w:r>
      <w:r w:rsidR="0005700D">
        <w:t>PTP</w:t>
      </w:r>
      <w:r w:rsidR="00D76B66">
        <w:t xml:space="preserve"> input (MTIE) for T-BC with constant temperature</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40"/>
        <w:gridCol w:w="4705"/>
      </w:tblGrid>
      <w:tr w:rsidR="00D76B66"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head"/>
              <w:spacing w:before="2"/>
              <w:rPr>
                <w:lang w:eastAsia="zh-CN"/>
              </w:rPr>
            </w:pPr>
            <w:r>
              <w:rPr>
                <w:lang w:eastAsia="zh-CN"/>
              </w:rPr>
              <w:t>MTIE limit [ns]</w:t>
            </w:r>
          </w:p>
        </w:tc>
        <w:tc>
          <w:tcPr>
            <w:tcW w:w="4705"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head"/>
              <w:spacing w:before="2"/>
              <w:rPr>
                <w:lang w:eastAsia="zh-CN"/>
              </w:rPr>
            </w:pPr>
            <w:r>
              <w:rPr>
                <w:lang w:eastAsia="zh-CN"/>
              </w:rPr>
              <w:t>Observation interval τ [s]</w:t>
            </w:r>
          </w:p>
        </w:tc>
      </w:tr>
      <w:tr w:rsidR="00D76B66"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text"/>
              <w:spacing w:before="2"/>
              <w:jc w:val="center"/>
              <w:rPr>
                <w:lang w:eastAsia="zh-CN"/>
              </w:rPr>
            </w:pPr>
            <w:r>
              <w:rPr>
                <w:lang w:eastAsia="zh-CN"/>
              </w:rPr>
              <w:t>22 + 40 τ</w:t>
            </w:r>
            <w:r>
              <w:rPr>
                <w:vertAlign w:val="superscript"/>
                <w:lang w:eastAsia="zh-CN"/>
              </w:rPr>
              <w:t>0.1</w:t>
            </w:r>
          </w:p>
        </w:tc>
        <w:tc>
          <w:tcPr>
            <w:tcW w:w="4705"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text"/>
              <w:spacing w:before="2"/>
              <w:jc w:val="center"/>
              <w:rPr>
                <w:lang w:eastAsia="zh-CN"/>
              </w:rPr>
            </w:pPr>
            <w:r>
              <w:rPr>
                <w:lang w:eastAsia="zh-CN"/>
              </w:rPr>
              <w:t xml:space="preserve">1 </w:t>
            </w:r>
            <w:r w:rsidR="007B2B2B">
              <w:rPr>
                <w:lang w:eastAsia="zh-CN"/>
              </w:rPr>
              <w:t xml:space="preserve">≤ </w:t>
            </w:r>
            <w:r>
              <w:rPr>
                <w:lang w:eastAsia="zh-CN"/>
              </w:rPr>
              <w:t>τ ≤ 100</w:t>
            </w:r>
          </w:p>
        </w:tc>
      </w:tr>
      <w:tr w:rsidR="00D76B66"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text"/>
              <w:spacing w:before="2"/>
              <w:jc w:val="center"/>
              <w:rPr>
                <w:lang w:eastAsia="zh-CN"/>
              </w:rPr>
            </w:pPr>
            <w:r>
              <w:rPr>
                <w:lang w:eastAsia="zh-CN"/>
              </w:rPr>
              <w:t>22+ 25.25 τ</w:t>
            </w:r>
            <w:r>
              <w:rPr>
                <w:vertAlign w:val="superscript"/>
                <w:lang w:eastAsia="zh-CN"/>
              </w:rPr>
              <w:t>0.2</w:t>
            </w:r>
          </w:p>
        </w:tc>
        <w:tc>
          <w:tcPr>
            <w:tcW w:w="4705"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text"/>
              <w:spacing w:before="2"/>
              <w:jc w:val="center"/>
              <w:rPr>
                <w:lang w:eastAsia="zh-CN"/>
              </w:rPr>
            </w:pPr>
            <w:r>
              <w:rPr>
                <w:lang w:eastAsia="zh-CN"/>
              </w:rPr>
              <w:t>100 &lt; τ ≤ 1000</w:t>
            </w:r>
          </w:p>
        </w:tc>
      </w:tr>
    </w:tbl>
    <w:p w:rsidR="00D76B66" w:rsidRDefault="00D76B66" w:rsidP="00D76B66">
      <w:pPr>
        <w:tabs>
          <w:tab w:val="left" w:pos="720"/>
        </w:tabs>
        <w:overflowPunct/>
        <w:autoSpaceDE/>
        <w:adjustRightInd/>
        <w:spacing w:before="0"/>
      </w:pPr>
    </w:p>
    <w:p w:rsidR="00D76B66" w:rsidRDefault="00D76B66" w:rsidP="00D76B66">
      <w:pPr>
        <w:tabs>
          <w:tab w:val="left" w:pos="720"/>
        </w:tabs>
        <w:overflowPunct/>
        <w:autoSpaceDE/>
        <w:adjustRightInd/>
        <w:spacing w:before="0"/>
      </w:pPr>
      <w:r>
        <w:t xml:space="preserve">The phase/time performance during loss of </w:t>
      </w:r>
      <w:r w:rsidR="0005700D">
        <w:t>PTP</w:t>
      </w:r>
      <w:r>
        <w:t xml:space="preserve"> input reference requirements based on physical layer frequency applicable to a T-BC under variable temperatur</w:t>
      </w:r>
      <w:r w:rsidR="00D53D1D">
        <w:t>e conditions is shown in Table 7-</w:t>
      </w:r>
      <w:r w:rsidR="00081305">
        <w:t>7</w:t>
      </w:r>
      <w:r>
        <w:t>. Under variable temperature conditions the maximum observation interval is 10000 seconds.</w:t>
      </w:r>
    </w:p>
    <w:p w:rsidR="00081305" w:rsidRDefault="00081305" w:rsidP="00D76B66">
      <w:pPr>
        <w:tabs>
          <w:tab w:val="left" w:pos="720"/>
        </w:tabs>
        <w:overflowPunct/>
        <w:autoSpaceDE/>
        <w:adjustRightInd/>
        <w:spacing w:before="0"/>
      </w:pPr>
    </w:p>
    <w:p w:rsidR="00D76B66" w:rsidRDefault="00BF2CA7" w:rsidP="00D76B66">
      <w:pPr>
        <w:pStyle w:val="TableNoTitle0"/>
        <w:spacing w:before="2"/>
      </w:pPr>
      <w:r>
        <w:t>Table 7-</w:t>
      </w:r>
      <w:r w:rsidR="00081305">
        <w:t>7</w:t>
      </w:r>
      <w:r w:rsidR="00D76B66">
        <w:t xml:space="preserve"> – Performance allowance during loss of packet signal input (MTIE) for T-BC with variable temperature</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40"/>
        <w:gridCol w:w="4705"/>
      </w:tblGrid>
      <w:tr w:rsidR="00D76B66"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head"/>
              <w:spacing w:before="2"/>
              <w:rPr>
                <w:lang w:eastAsia="zh-CN"/>
              </w:rPr>
            </w:pPr>
            <w:r>
              <w:rPr>
                <w:lang w:eastAsia="zh-CN"/>
              </w:rPr>
              <w:t>MTIE limit [ns]</w:t>
            </w:r>
          </w:p>
        </w:tc>
        <w:tc>
          <w:tcPr>
            <w:tcW w:w="4705"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head"/>
              <w:spacing w:before="2"/>
              <w:rPr>
                <w:lang w:eastAsia="zh-CN"/>
              </w:rPr>
            </w:pPr>
            <w:r>
              <w:rPr>
                <w:lang w:eastAsia="zh-CN"/>
              </w:rPr>
              <w:t>Observation interval τ [s]</w:t>
            </w:r>
          </w:p>
        </w:tc>
      </w:tr>
      <w:tr w:rsidR="00D76B66"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D76B66" w:rsidRPr="00554AD2" w:rsidRDefault="00D76B66" w:rsidP="00935858">
            <w:pPr>
              <w:pStyle w:val="Tabletext"/>
              <w:spacing w:before="2"/>
              <w:jc w:val="center"/>
              <w:rPr>
                <w:lang w:eastAsia="zh-CN"/>
              </w:rPr>
            </w:pPr>
            <w:r>
              <w:rPr>
                <w:lang w:eastAsia="zh-CN"/>
              </w:rPr>
              <w:t>22 + 40 τ</w:t>
            </w:r>
            <w:r>
              <w:rPr>
                <w:vertAlign w:val="superscript"/>
                <w:lang w:eastAsia="zh-CN"/>
              </w:rPr>
              <w:t>0.1</w:t>
            </w:r>
            <w:r>
              <w:rPr>
                <w:lang w:eastAsia="zh-CN"/>
              </w:rPr>
              <w:t xml:space="preserve"> + 0.5 τ</w:t>
            </w:r>
          </w:p>
        </w:tc>
        <w:tc>
          <w:tcPr>
            <w:tcW w:w="4705"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text"/>
              <w:spacing w:before="2"/>
              <w:jc w:val="center"/>
              <w:rPr>
                <w:lang w:eastAsia="zh-CN"/>
              </w:rPr>
            </w:pPr>
            <w:r>
              <w:rPr>
                <w:lang w:eastAsia="zh-CN"/>
              </w:rPr>
              <w:t xml:space="preserve">1 </w:t>
            </w:r>
            <w:r w:rsidR="007B2B2B">
              <w:rPr>
                <w:lang w:eastAsia="zh-CN"/>
              </w:rPr>
              <w:t>≤</w:t>
            </w:r>
            <w:r>
              <w:rPr>
                <w:lang w:eastAsia="zh-CN"/>
              </w:rPr>
              <w:t xml:space="preserve"> τ ≤ 100</w:t>
            </w:r>
          </w:p>
        </w:tc>
      </w:tr>
      <w:tr w:rsidR="00D76B66"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D76B66" w:rsidRPr="00554AD2" w:rsidRDefault="00D76B66" w:rsidP="00935858">
            <w:pPr>
              <w:pStyle w:val="Tabletext"/>
              <w:spacing w:before="2"/>
              <w:jc w:val="center"/>
              <w:rPr>
                <w:lang w:eastAsia="zh-CN"/>
              </w:rPr>
            </w:pPr>
            <w:r>
              <w:rPr>
                <w:lang w:eastAsia="zh-CN"/>
              </w:rPr>
              <w:t>72+ 25.25 τ</w:t>
            </w:r>
            <w:r>
              <w:rPr>
                <w:vertAlign w:val="superscript"/>
                <w:lang w:eastAsia="zh-CN"/>
              </w:rPr>
              <w:t>0.2</w:t>
            </w:r>
          </w:p>
        </w:tc>
        <w:tc>
          <w:tcPr>
            <w:tcW w:w="4705" w:type="dxa"/>
            <w:tcBorders>
              <w:top w:val="single" w:sz="6" w:space="0" w:color="auto"/>
              <w:left w:val="single" w:sz="6" w:space="0" w:color="auto"/>
              <w:bottom w:val="single" w:sz="6" w:space="0" w:color="auto"/>
              <w:right w:val="single" w:sz="6" w:space="0" w:color="auto"/>
            </w:tcBorders>
            <w:hideMark/>
          </w:tcPr>
          <w:p w:rsidR="00D76B66" w:rsidRDefault="00D76B66" w:rsidP="00935858">
            <w:pPr>
              <w:pStyle w:val="Tabletext"/>
              <w:spacing w:before="2"/>
              <w:jc w:val="center"/>
              <w:rPr>
                <w:lang w:eastAsia="zh-CN"/>
              </w:rPr>
            </w:pPr>
            <w:r>
              <w:rPr>
                <w:lang w:eastAsia="zh-CN"/>
              </w:rPr>
              <w:t>100 &lt; τ ≤ 1000</w:t>
            </w:r>
          </w:p>
        </w:tc>
      </w:tr>
      <w:tr w:rsidR="00D76B66" w:rsidTr="00935858">
        <w:trPr>
          <w:cantSplit/>
          <w:jc w:val="center"/>
        </w:trPr>
        <w:tc>
          <w:tcPr>
            <w:tcW w:w="4940" w:type="dxa"/>
            <w:tcBorders>
              <w:top w:val="single" w:sz="6" w:space="0" w:color="auto"/>
              <w:left w:val="single" w:sz="6" w:space="0" w:color="auto"/>
              <w:bottom w:val="single" w:sz="6" w:space="0" w:color="auto"/>
              <w:right w:val="single" w:sz="6" w:space="0" w:color="auto"/>
            </w:tcBorders>
          </w:tcPr>
          <w:p w:rsidR="00D76B66" w:rsidRDefault="00E2318F" w:rsidP="00935858">
            <w:pPr>
              <w:pStyle w:val="Tabletext"/>
              <w:spacing w:before="2"/>
              <w:jc w:val="center"/>
              <w:rPr>
                <w:lang w:eastAsia="zh-CN"/>
              </w:rPr>
            </w:pPr>
            <w:r>
              <w:rPr>
                <w:lang w:eastAsia="zh-CN"/>
              </w:rPr>
              <w:t>for further study</w:t>
            </w:r>
          </w:p>
        </w:tc>
        <w:tc>
          <w:tcPr>
            <w:tcW w:w="4705" w:type="dxa"/>
            <w:tcBorders>
              <w:top w:val="single" w:sz="6" w:space="0" w:color="auto"/>
              <w:left w:val="single" w:sz="6" w:space="0" w:color="auto"/>
              <w:bottom w:val="single" w:sz="6" w:space="0" w:color="auto"/>
              <w:right w:val="single" w:sz="6" w:space="0" w:color="auto"/>
            </w:tcBorders>
          </w:tcPr>
          <w:p w:rsidR="00D76B66" w:rsidRDefault="00D76B66" w:rsidP="00935858">
            <w:pPr>
              <w:pStyle w:val="Tabletext"/>
              <w:spacing w:before="2"/>
              <w:jc w:val="center"/>
              <w:rPr>
                <w:lang w:eastAsia="zh-CN"/>
              </w:rPr>
            </w:pPr>
            <w:r>
              <w:rPr>
                <w:lang w:eastAsia="zh-CN"/>
              </w:rPr>
              <w:t>1000 &lt; τ ≤ 10000</w:t>
            </w:r>
          </w:p>
        </w:tc>
      </w:tr>
    </w:tbl>
    <w:p w:rsidR="00D76B66" w:rsidRDefault="0095190A" w:rsidP="00D76B66">
      <w:r>
        <w:t>”</w:t>
      </w:r>
    </w:p>
    <w:p w:rsidR="00935858" w:rsidRDefault="00935858" w:rsidP="00D63271">
      <w:pPr>
        <w:pStyle w:val="Heading1"/>
        <w:rPr>
          <w:bCs/>
        </w:rPr>
      </w:pPr>
      <w:r>
        <w:rPr>
          <w:bCs/>
        </w:rPr>
        <w:lastRenderedPageBreak/>
        <w:t>Replace Annex B with the following text:</w:t>
      </w:r>
    </w:p>
    <w:p w:rsidR="00FA20BB" w:rsidRDefault="00935858" w:rsidP="00FA20BB">
      <w:pPr>
        <w:pStyle w:val="AnnexNoTitle0"/>
        <w:spacing w:before="240"/>
      </w:pPr>
      <w:r>
        <w:t>“</w:t>
      </w:r>
      <w:r w:rsidR="0095190A" w:rsidRPr="00FF1FA4">
        <w:t>Annex B</w:t>
      </w:r>
    </w:p>
    <w:p w:rsidR="00FA20BB" w:rsidRDefault="0095190A" w:rsidP="00FA20BB">
      <w:pPr>
        <w:pStyle w:val="AnnexNoTitle0"/>
        <w:spacing w:before="240"/>
      </w:pPr>
      <w:r w:rsidRPr="00FF1FA4">
        <w:t>Control of transient due to rearrangements in the</w:t>
      </w:r>
      <w:r w:rsidRPr="00FF1FA4">
        <w:br/>
        <w:t>synchronous Ethernet network</w:t>
      </w:r>
    </w:p>
    <w:p w:rsidR="0095190A" w:rsidRPr="00FF1FA4" w:rsidRDefault="0095190A" w:rsidP="0095190A">
      <w:pPr>
        <w:jc w:val="center"/>
      </w:pPr>
      <w:r w:rsidRPr="00FF1FA4">
        <w:t>(This annex forms an integral part of this Recommendation.)</w:t>
      </w:r>
    </w:p>
    <w:p w:rsidR="0095190A" w:rsidRDefault="0095190A" w:rsidP="00935858"/>
    <w:p w:rsidR="00935858" w:rsidRPr="003C5020" w:rsidRDefault="00935858" w:rsidP="00935858">
      <w:r w:rsidRPr="003C5020">
        <w:t>A T-BC shall properly limit the generation of phase/time error due to a rearrangement of the physical layer frequency transport (e.g. SyncE, SDH) by using ingress QL information (e.g. ESMC message).  In the worst-case, the input SyncE frequency will experience a re-arrangement transient as detailed in Figure 12/G.8262 of [ITU-T G.8262] and Figure 12/G.813 of [ITU-T G.813]. When a SyncE/SDH rearrangement occurs, the T-BC may experience an initial output transient when the SyncE/SDH loses PRC-traceability, and a second output transient when or after the SyncE/SDH again becomes PRC-traceable. The</w:t>
      </w:r>
      <w:r>
        <w:t xml:space="preserve"> absolute value of</w:t>
      </w:r>
      <w:r w:rsidRPr="003C5020">
        <w:t xml:space="preserve"> T-BC output phase error shall meet the following requirements when these transients occur:</w:t>
      </w:r>
    </w:p>
    <w:p w:rsidR="00935858" w:rsidRPr="003C5020" w:rsidRDefault="00935858" w:rsidP="00935858">
      <w:pPr>
        <w:numPr>
          <w:ilvl w:val="0"/>
          <w:numId w:val="45"/>
        </w:numPr>
      </w:pPr>
      <w:r w:rsidRPr="003C5020">
        <w:t>The T-BC output phase error at the PTP and 1 PPS outputs shall not exceed the mask of Figure B.1 and Table B.1 below.</w:t>
      </w:r>
    </w:p>
    <w:p w:rsidR="00935858" w:rsidRPr="003C5020" w:rsidRDefault="00935858" w:rsidP="00935858">
      <w:pPr>
        <w:ind w:left="720"/>
      </w:pPr>
      <w:r w:rsidRPr="003C5020">
        <w:t>Note – The mask of Figure B.1</w:t>
      </w:r>
      <w:r>
        <w:t xml:space="preserve"> assumes that the SyncE signal loses PRC traceability at time zero and becomes traceable again at 15 s (i.e., the SyncE transient is completed by 15 s. </w:t>
      </w:r>
      <w:r w:rsidRPr="003C5020">
        <w:t>The re-establishment of PRC-traceability will be earlier in smaller rings; the exact time depends on the number of EECs/SECs in the ring and the exact values of the SSM message delays.</w:t>
      </w:r>
      <w:r>
        <w:t xml:space="preserve"> The mask is extended to 50 s to allow time for the T-BC to either re-acquire the SyncE signal or begin using the T-BC filter again after PRC-traceability has been re-established.</w:t>
      </w:r>
    </w:p>
    <w:p w:rsidR="00935858" w:rsidRPr="00B51140" w:rsidRDefault="00935858" w:rsidP="00935858">
      <w:pPr>
        <w:rPr>
          <w:sz w:val="22"/>
          <w:szCs w:val="22"/>
        </w:rPr>
      </w:pPr>
      <w:r>
        <w:t>The SyncE transient test is done without a measurement filter, and should exclude any constant time error. Ideally, the absolute value of unfiltered dTE is desired.</w:t>
      </w:r>
    </w:p>
    <w:p w:rsidR="00935858" w:rsidRPr="003C5020" w:rsidRDefault="00935858" w:rsidP="00935858">
      <w:r w:rsidRPr="003C5020">
        <w:t xml:space="preserve">See Appendix II for background on the assumptions and derivations for the masks of Figure B.1 and </w:t>
      </w:r>
      <w:r>
        <w:t xml:space="preserve">Table </w:t>
      </w:r>
      <w:r w:rsidRPr="003C5020">
        <w:t>B.</w:t>
      </w:r>
      <w:r>
        <w:t>1</w:t>
      </w:r>
      <w:r w:rsidRPr="003C5020">
        <w:t>.</w:t>
      </w:r>
    </w:p>
    <w:p w:rsidR="0050019A" w:rsidRDefault="00450EFD" w:rsidP="00935858">
      <w:pPr>
        <w:jc w:val="center"/>
        <w:rPr>
          <w:b/>
          <w:bCs/>
        </w:rPr>
      </w:pPr>
      <w:r>
        <w:rPr>
          <w:noProof/>
          <w:lang w:eastAsia="zh-CN"/>
        </w:rPr>
        <w:lastRenderedPageBreak/>
        <w:drawing>
          <wp:inline distT="0" distB="0" distL="0" distR="0">
            <wp:extent cx="5443220" cy="4121785"/>
            <wp:effectExtent l="19050" t="0" r="508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443220" cy="4121785"/>
                    </a:xfrm>
                    <a:prstGeom prst="rect">
                      <a:avLst/>
                    </a:prstGeom>
                    <a:noFill/>
                    <a:ln w="9525">
                      <a:noFill/>
                      <a:miter lim="800000"/>
                      <a:headEnd/>
                      <a:tailEnd/>
                    </a:ln>
                  </pic:spPr>
                </pic:pic>
              </a:graphicData>
            </a:graphic>
          </wp:inline>
        </w:drawing>
      </w:r>
    </w:p>
    <w:p w:rsidR="00935858" w:rsidRPr="003C5020" w:rsidRDefault="00935858" w:rsidP="00935858">
      <w:pPr>
        <w:jc w:val="center"/>
        <w:rPr>
          <w:b/>
          <w:bCs/>
        </w:rPr>
      </w:pPr>
      <w:r w:rsidRPr="003C5020">
        <w:rPr>
          <w:b/>
          <w:bCs/>
        </w:rPr>
        <w:t>Figure B.1 – Phase error limit for output phase error transient after the start of the</w:t>
      </w:r>
      <w:r w:rsidR="00AA7D6D">
        <w:rPr>
          <w:b/>
          <w:bCs/>
        </w:rPr>
        <w:t xml:space="preserve"> </w:t>
      </w:r>
      <w:r w:rsidRPr="003C5020">
        <w:rPr>
          <w:b/>
          <w:bCs/>
        </w:rPr>
        <w:t>SyncE/SDH rearrangement.</w:t>
      </w:r>
    </w:p>
    <w:p w:rsidR="00935858" w:rsidRPr="00E01BD1" w:rsidRDefault="00935858" w:rsidP="00935858">
      <w:pPr>
        <w:spacing w:after="120"/>
        <w:ind w:left="720" w:hanging="720"/>
        <w:rPr>
          <w:b/>
          <w:bCs/>
          <w:szCs w:val="24"/>
        </w:rPr>
      </w:pPr>
      <w:r w:rsidRPr="00E01BD1">
        <w:rPr>
          <w:b/>
          <w:bCs/>
          <w:szCs w:val="24"/>
        </w:rPr>
        <w:t>Table B.1 – T-BC output phase transient mask for output transient after start of SyncE/SDH rearrangement (at and just after loss of PRC-traceability by the SyncE/SDH signal)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483"/>
      </w:tblGrid>
      <w:tr w:rsidR="00935858" w:rsidRPr="003C5020" w:rsidTr="00935858">
        <w:tc>
          <w:tcPr>
            <w:tcW w:w="4533" w:type="dxa"/>
          </w:tcPr>
          <w:p w:rsidR="00935858" w:rsidRPr="003C5020" w:rsidRDefault="00935858" w:rsidP="00935858">
            <w:pPr>
              <w:jc w:val="center"/>
            </w:pPr>
            <w:r w:rsidRPr="003C5020">
              <w:t xml:space="preserve">Time </w:t>
            </w:r>
            <w:r w:rsidRPr="003C5020">
              <w:rPr>
                <w:i/>
              </w:rPr>
              <w:t>S</w:t>
            </w:r>
            <w:r w:rsidRPr="003C5020">
              <w:t xml:space="preserve"> after start of SyncE/SDH rearrangement (s)</w:t>
            </w:r>
          </w:p>
        </w:tc>
        <w:tc>
          <w:tcPr>
            <w:tcW w:w="4483" w:type="dxa"/>
          </w:tcPr>
          <w:p w:rsidR="00935858" w:rsidRPr="003C5020" w:rsidRDefault="00935858" w:rsidP="00935858">
            <w:pPr>
              <w:jc w:val="center"/>
            </w:pPr>
            <w:r w:rsidRPr="003C5020">
              <w:t xml:space="preserve">T-BC Output </w:t>
            </w:r>
            <w:r w:rsidR="00956B13" w:rsidRPr="007465B9">
              <w:t>Absolute</w:t>
            </w:r>
            <w:r w:rsidR="00956B13" w:rsidRPr="003C5020">
              <w:t xml:space="preserve"> </w:t>
            </w:r>
            <w:r w:rsidRPr="003C5020">
              <w:t>Phase Error (ns)</w:t>
            </w:r>
          </w:p>
        </w:tc>
      </w:tr>
      <w:tr w:rsidR="00935858" w:rsidRPr="003C5020" w:rsidTr="00935858">
        <w:tc>
          <w:tcPr>
            <w:tcW w:w="4533" w:type="dxa"/>
          </w:tcPr>
          <w:p w:rsidR="00935858" w:rsidRPr="003C5020" w:rsidRDefault="00935858" w:rsidP="00935858">
            <w:pPr>
              <w:jc w:val="center"/>
            </w:pPr>
            <w:r>
              <w:t>0</w:t>
            </w:r>
            <w:r w:rsidRPr="003C5020">
              <w:t xml:space="preserve"> ≤ </w:t>
            </w:r>
            <w:r w:rsidRPr="003C5020">
              <w:rPr>
                <w:i/>
              </w:rPr>
              <w:t>S</w:t>
            </w:r>
            <w:r>
              <w:t xml:space="preserve"> &lt; 2.4</w:t>
            </w:r>
          </w:p>
        </w:tc>
        <w:tc>
          <w:tcPr>
            <w:tcW w:w="4483" w:type="dxa"/>
          </w:tcPr>
          <w:p w:rsidR="00935858" w:rsidRDefault="00935858" w:rsidP="00935858">
            <w:pPr>
              <w:jc w:val="center"/>
            </w:pPr>
            <w:r>
              <w:t>200  + 50</w:t>
            </w:r>
            <w:r w:rsidRPr="003C5020">
              <w:rPr>
                <w:i/>
              </w:rPr>
              <w:t>S</w:t>
            </w:r>
          </w:p>
        </w:tc>
      </w:tr>
      <w:tr w:rsidR="00935858" w:rsidRPr="003C5020" w:rsidTr="00935858">
        <w:tc>
          <w:tcPr>
            <w:tcW w:w="4533" w:type="dxa"/>
          </w:tcPr>
          <w:p w:rsidR="00935858" w:rsidRPr="003C5020" w:rsidRDefault="00935858" w:rsidP="00935858">
            <w:pPr>
              <w:jc w:val="center"/>
            </w:pPr>
            <w:r w:rsidRPr="003C5020">
              <w:t>2.</w:t>
            </w:r>
            <w:r>
              <w:t>4</w:t>
            </w:r>
            <w:r w:rsidRPr="003C5020">
              <w:t xml:space="preserve"> ≤ </w:t>
            </w:r>
            <w:r w:rsidRPr="003C5020">
              <w:rPr>
                <w:i/>
              </w:rPr>
              <w:t>S</w:t>
            </w:r>
            <w:r w:rsidRPr="003C5020">
              <w:t xml:space="preserve"> &lt; </w:t>
            </w:r>
            <w:r>
              <w:t>14.25</w:t>
            </w:r>
          </w:p>
        </w:tc>
        <w:tc>
          <w:tcPr>
            <w:tcW w:w="4483" w:type="dxa"/>
          </w:tcPr>
          <w:p w:rsidR="00935858" w:rsidRDefault="00935858" w:rsidP="00935858">
            <w:pPr>
              <w:jc w:val="center"/>
            </w:pPr>
            <w:r>
              <w:t>5</w:t>
            </w:r>
            <w:r w:rsidRPr="003C5020">
              <w:t xml:space="preserve">0 + </w:t>
            </w:r>
            <w:r>
              <w:t xml:space="preserve">270 </w:t>
            </w:r>
            <w:r w:rsidRPr="003C5020">
              <w:rPr>
                <w:i/>
              </w:rPr>
              <w:t>e</w:t>
            </w:r>
            <w:r w:rsidRPr="003C5020">
              <w:rPr>
                <w:vertAlign w:val="superscript"/>
              </w:rPr>
              <w:t xml:space="preserve"> –2π(0.05)(</w:t>
            </w:r>
            <w:r w:rsidRPr="003C5020">
              <w:rPr>
                <w:i/>
                <w:vertAlign w:val="superscript"/>
              </w:rPr>
              <w:t>S</w:t>
            </w:r>
            <w:r>
              <w:rPr>
                <w:vertAlign w:val="superscript"/>
              </w:rPr>
              <w:t xml:space="preserve"> – 2.4</w:t>
            </w:r>
            <w:r w:rsidRPr="003C5020">
              <w:rPr>
                <w:vertAlign w:val="superscript"/>
              </w:rPr>
              <w:t>)</w:t>
            </w:r>
          </w:p>
        </w:tc>
      </w:tr>
      <w:tr w:rsidR="00935858" w:rsidRPr="003C5020" w:rsidTr="00935858">
        <w:tc>
          <w:tcPr>
            <w:tcW w:w="4533" w:type="dxa"/>
          </w:tcPr>
          <w:p w:rsidR="00935858" w:rsidRDefault="00935858" w:rsidP="00935858">
            <w:pPr>
              <w:jc w:val="center"/>
            </w:pPr>
            <w:r>
              <w:t>14.25</w:t>
            </w:r>
            <w:r w:rsidRPr="003C5020">
              <w:t xml:space="preserve"> ≤ </w:t>
            </w:r>
            <w:r w:rsidRPr="003C5020">
              <w:rPr>
                <w:i/>
              </w:rPr>
              <w:t>S</w:t>
            </w:r>
            <w:r w:rsidRPr="003C5020">
              <w:t xml:space="preserve"> &lt; 1</w:t>
            </w:r>
            <w:r>
              <w:t>5.5</w:t>
            </w:r>
          </w:p>
        </w:tc>
        <w:tc>
          <w:tcPr>
            <w:tcW w:w="4483" w:type="dxa"/>
          </w:tcPr>
          <w:p w:rsidR="00935858" w:rsidRDefault="00935858" w:rsidP="00935858">
            <w:pPr>
              <w:jc w:val="center"/>
            </w:pPr>
            <w:r>
              <w:t xml:space="preserve">180 </w:t>
            </w:r>
          </w:p>
        </w:tc>
      </w:tr>
      <w:tr w:rsidR="00935858" w:rsidRPr="003C5020" w:rsidTr="00935858">
        <w:tc>
          <w:tcPr>
            <w:tcW w:w="4533" w:type="dxa"/>
          </w:tcPr>
          <w:p w:rsidR="00935858" w:rsidRDefault="00935858" w:rsidP="00935858">
            <w:pPr>
              <w:jc w:val="center"/>
            </w:pPr>
            <w:r>
              <w:t>15.5</w:t>
            </w:r>
            <w:r w:rsidRPr="003C5020">
              <w:t xml:space="preserve"> ≤ </w:t>
            </w:r>
            <w:r w:rsidRPr="003C5020">
              <w:rPr>
                <w:i/>
              </w:rPr>
              <w:t>S</w:t>
            </w:r>
            <w:r>
              <w:t xml:space="preserve"> &lt; 25.5 </w:t>
            </w:r>
          </w:p>
        </w:tc>
        <w:tc>
          <w:tcPr>
            <w:tcW w:w="4483" w:type="dxa"/>
          </w:tcPr>
          <w:p w:rsidR="00935858" w:rsidRDefault="00935858" w:rsidP="00935858">
            <w:pPr>
              <w:jc w:val="center"/>
            </w:pPr>
            <w:r>
              <w:t xml:space="preserve">115 </w:t>
            </w:r>
          </w:p>
        </w:tc>
      </w:tr>
      <w:tr w:rsidR="00935858" w:rsidRPr="003C5020" w:rsidTr="00935858">
        <w:tc>
          <w:tcPr>
            <w:tcW w:w="4533" w:type="dxa"/>
          </w:tcPr>
          <w:p w:rsidR="00935858" w:rsidRDefault="00935858" w:rsidP="00935858">
            <w:pPr>
              <w:jc w:val="center"/>
            </w:pPr>
            <w:r>
              <w:t xml:space="preserve">25.5 </w:t>
            </w:r>
            <w:r w:rsidRPr="003C5020">
              <w:t xml:space="preserve">≤ </w:t>
            </w:r>
            <w:r w:rsidRPr="003C5020">
              <w:rPr>
                <w:i/>
              </w:rPr>
              <w:t>S</w:t>
            </w:r>
            <w:r>
              <w:t xml:space="preserve"> </w:t>
            </w:r>
            <w:r w:rsidRPr="003C5020">
              <w:t>≤</w:t>
            </w:r>
            <w:r>
              <w:t xml:space="preserve"> 50</w:t>
            </w:r>
          </w:p>
        </w:tc>
        <w:tc>
          <w:tcPr>
            <w:tcW w:w="4483" w:type="dxa"/>
          </w:tcPr>
          <w:p w:rsidR="00935858" w:rsidRPr="003C5020" w:rsidRDefault="00935858" w:rsidP="00935858">
            <w:pPr>
              <w:jc w:val="center"/>
              <w:rPr>
                <w:vertAlign w:val="superscript"/>
              </w:rPr>
            </w:pPr>
            <w:r>
              <w:t>50</w:t>
            </w:r>
            <w:r w:rsidRPr="003C5020">
              <w:t xml:space="preserve"> + </w:t>
            </w:r>
            <w:r>
              <w:t xml:space="preserve">65 </w:t>
            </w:r>
            <w:r w:rsidRPr="003C5020">
              <w:rPr>
                <w:i/>
              </w:rPr>
              <w:t>e</w:t>
            </w:r>
            <w:r w:rsidRPr="003C5020">
              <w:rPr>
                <w:vertAlign w:val="superscript"/>
              </w:rPr>
              <w:t xml:space="preserve"> –2π(0.05)(</w:t>
            </w:r>
            <w:r w:rsidRPr="003C5020">
              <w:rPr>
                <w:i/>
                <w:vertAlign w:val="superscript"/>
              </w:rPr>
              <w:t>S</w:t>
            </w:r>
            <w:r w:rsidRPr="003C5020">
              <w:rPr>
                <w:vertAlign w:val="superscript"/>
              </w:rPr>
              <w:t xml:space="preserve"> – 25</w:t>
            </w:r>
            <w:r>
              <w:rPr>
                <w:vertAlign w:val="superscript"/>
              </w:rPr>
              <w:t>.5</w:t>
            </w:r>
            <w:r w:rsidRPr="003C5020">
              <w:rPr>
                <w:vertAlign w:val="superscript"/>
              </w:rPr>
              <w:t>)</w:t>
            </w:r>
          </w:p>
        </w:tc>
      </w:tr>
    </w:tbl>
    <w:p w:rsidR="00FA20BB" w:rsidRDefault="00935858">
      <w:r w:rsidRPr="003C5020">
        <w:t xml:space="preserve">Note: as per [G.8264] SSM might be disabled by the operator. </w:t>
      </w:r>
      <w:r w:rsidRPr="003C5020">
        <w:rPr>
          <w:sz w:val="23"/>
          <w:szCs w:val="23"/>
        </w:rPr>
        <w:t>The impact on the mitigation of time error due to SyncE/SDH rearrangement when not using SSM is under the responsibility of the operator and is for further study.</w:t>
      </w:r>
      <w:r w:rsidR="00B80318">
        <w:rPr>
          <w:sz w:val="23"/>
          <w:szCs w:val="23"/>
        </w:rPr>
        <w:t>”</w:t>
      </w:r>
    </w:p>
    <w:p w:rsidR="00D63271" w:rsidRDefault="00D63271" w:rsidP="00D63271">
      <w:pPr>
        <w:pStyle w:val="Heading1"/>
        <w:rPr>
          <w:bCs/>
        </w:rPr>
      </w:pPr>
      <w:r>
        <w:t xml:space="preserve">Clause </w:t>
      </w:r>
      <w:r>
        <w:rPr>
          <w:bCs/>
        </w:rPr>
        <w:t>C.2.1</w:t>
      </w:r>
      <w:r w:rsidR="00D1468F">
        <w:rPr>
          <w:bCs/>
        </w:rPr>
        <w:t>.2</w:t>
      </w:r>
    </w:p>
    <w:p w:rsidR="00D63271" w:rsidRDefault="00D63271" w:rsidP="00D63271">
      <w:r>
        <w:t>Replace the following text:</w:t>
      </w:r>
    </w:p>
    <w:p w:rsidR="00D63271" w:rsidRPr="002576AC" w:rsidRDefault="00D63271" w:rsidP="00D63271">
      <w:pPr>
        <w:pStyle w:val="PlainText"/>
        <w:rPr>
          <w:rFonts w:ascii="Times New Roman" w:hAnsi="Times New Roman"/>
          <w:sz w:val="24"/>
          <w:szCs w:val="20"/>
        </w:rPr>
      </w:pPr>
      <w:r>
        <w:t>“</w:t>
      </w:r>
      <w:r w:rsidRPr="002576AC">
        <w:rPr>
          <w:rFonts w:ascii="Times New Roman" w:hAnsi="Times New Roman"/>
          <w:sz w:val="24"/>
          <w:szCs w:val="20"/>
        </w:rPr>
        <w:t>The applicable TDEV is for further study.</w:t>
      </w:r>
    </w:p>
    <w:p w:rsidR="00D63271" w:rsidRPr="002576AC" w:rsidRDefault="00D63271" w:rsidP="00D63271">
      <w:r w:rsidRPr="002576AC">
        <w:t xml:space="preserve">Note 1 – This Recommendation is expected to include a normative TDEV mask similar to that contained in Appendix V in order to constrain the frequency distribution of the noise. It is strongly </w:t>
      </w:r>
      <w:r w:rsidRPr="002576AC">
        <w:lastRenderedPageBreak/>
        <w:t>suggested that implementations based on this recommendation limit dynamic time error noise generation to meet at least the requirements of the TDEV mask contained in Appendix V.</w:t>
      </w:r>
      <w:r>
        <w:t>”</w:t>
      </w:r>
    </w:p>
    <w:p w:rsidR="00D63271" w:rsidRDefault="00D63271" w:rsidP="00D63271">
      <w:pPr>
        <w:pStyle w:val="Heading1"/>
        <w:numPr>
          <w:ilvl w:val="0"/>
          <w:numId w:val="0"/>
        </w:numPr>
        <w:rPr>
          <w:b w:val="0"/>
        </w:rPr>
      </w:pPr>
      <w:r>
        <w:rPr>
          <w:b w:val="0"/>
        </w:rPr>
        <w:t>With</w:t>
      </w:r>
      <w:r w:rsidR="001B2BF1">
        <w:rPr>
          <w:b w:val="0"/>
        </w:rPr>
        <w:t>:</w:t>
      </w:r>
    </w:p>
    <w:p w:rsidR="001B2BF1" w:rsidRPr="00FF1FA4" w:rsidRDefault="001B2BF1" w:rsidP="001B2BF1">
      <w:pPr>
        <w:pStyle w:val="Normalaftertitle"/>
      </w:pPr>
      <w:r>
        <w:t>“</w:t>
      </w:r>
      <w:r w:rsidRPr="00FF1FA4">
        <w:t xml:space="preserve">For a Class A or Class B T-TSC containing an EEC-Option 1 clock, and operating in locked mode synchronized to both a wander-free time reference at the PTP input and a wander-free frequency reference at the SyncE/SDH input, the TDEV at the 1 PPS output, measured through a first-order low-pass filter with bandwidth of 0.1Hz, should meet the limits in Table </w:t>
      </w:r>
      <w:r>
        <w:t>C.5</w:t>
      </w:r>
      <w:r w:rsidRPr="00FF1FA4">
        <w:t xml:space="preserve"> under constant temperature (within ±1K). </w:t>
      </w:r>
    </w:p>
    <w:p w:rsidR="001B2BF1" w:rsidRPr="00FF1FA4" w:rsidRDefault="001B2BF1" w:rsidP="001B2BF1">
      <w:pPr>
        <w:pStyle w:val="TableNoTitle0"/>
      </w:pPr>
      <w:r>
        <w:t>Table C.5</w:t>
      </w:r>
      <w:r w:rsidRPr="00FF1FA4">
        <w:t xml:space="preserve"> – Dynamic time error noise generation (TDEV) for T-TSC with constant temperature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852"/>
      </w:tblGrid>
      <w:tr w:rsidR="001B2BF1" w:rsidRPr="00B5772A" w:rsidTr="00935858">
        <w:trPr>
          <w:cantSplit/>
          <w:jc w:val="center"/>
        </w:trPr>
        <w:tc>
          <w:tcPr>
            <w:tcW w:w="3119" w:type="dxa"/>
            <w:tcBorders>
              <w:top w:val="single" w:sz="6" w:space="0" w:color="auto"/>
              <w:left w:val="single" w:sz="6" w:space="0" w:color="auto"/>
              <w:bottom w:val="single" w:sz="6" w:space="0" w:color="auto"/>
              <w:right w:val="single" w:sz="6" w:space="0" w:color="auto"/>
            </w:tcBorders>
          </w:tcPr>
          <w:p w:rsidR="001B2BF1" w:rsidRPr="00FF1FA4" w:rsidRDefault="001B2BF1" w:rsidP="00935858">
            <w:pPr>
              <w:pStyle w:val="Tablehead"/>
            </w:pPr>
            <w:r w:rsidRPr="00FF1FA4">
              <w:t>TDEV limit [ns]</w:t>
            </w:r>
          </w:p>
        </w:tc>
        <w:tc>
          <w:tcPr>
            <w:tcW w:w="3852" w:type="dxa"/>
            <w:tcBorders>
              <w:top w:val="single" w:sz="6" w:space="0" w:color="auto"/>
              <w:left w:val="single" w:sz="6" w:space="0" w:color="auto"/>
              <w:bottom w:val="single" w:sz="6" w:space="0" w:color="auto"/>
              <w:right w:val="single" w:sz="6" w:space="0" w:color="auto"/>
            </w:tcBorders>
          </w:tcPr>
          <w:p w:rsidR="001B2BF1" w:rsidRPr="00FF1FA4" w:rsidRDefault="001B2BF1" w:rsidP="00935858">
            <w:pPr>
              <w:pStyle w:val="Tablehead"/>
              <w:rPr>
                <w:bCs/>
              </w:rPr>
            </w:pPr>
            <w:r w:rsidRPr="00FF1FA4">
              <w:rPr>
                <w:bCs/>
              </w:rPr>
              <w:t>Observation interval τ [s]</w:t>
            </w:r>
          </w:p>
        </w:tc>
      </w:tr>
      <w:tr w:rsidR="001B2BF1" w:rsidRPr="00B5772A" w:rsidTr="00935858">
        <w:trPr>
          <w:cantSplit/>
          <w:jc w:val="center"/>
        </w:trPr>
        <w:tc>
          <w:tcPr>
            <w:tcW w:w="3119" w:type="dxa"/>
            <w:tcBorders>
              <w:top w:val="single" w:sz="6" w:space="0" w:color="auto"/>
              <w:left w:val="single" w:sz="6" w:space="0" w:color="auto"/>
              <w:bottom w:val="single" w:sz="6" w:space="0" w:color="auto"/>
              <w:right w:val="single" w:sz="6" w:space="0" w:color="auto"/>
            </w:tcBorders>
          </w:tcPr>
          <w:p w:rsidR="001B2BF1" w:rsidRPr="00FF1FA4" w:rsidRDefault="001B2BF1" w:rsidP="00935858">
            <w:pPr>
              <w:pStyle w:val="Tabletext"/>
              <w:jc w:val="center"/>
            </w:pPr>
            <w:r w:rsidRPr="00FF1FA4">
              <w:t>4</w:t>
            </w:r>
          </w:p>
        </w:tc>
        <w:tc>
          <w:tcPr>
            <w:tcW w:w="3852" w:type="dxa"/>
            <w:tcBorders>
              <w:top w:val="single" w:sz="6" w:space="0" w:color="auto"/>
              <w:left w:val="single" w:sz="6" w:space="0" w:color="auto"/>
              <w:bottom w:val="single" w:sz="6" w:space="0" w:color="auto"/>
              <w:right w:val="single" w:sz="6" w:space="0" w:color="auto"/>
            </w:tcBorders>
          </w:tcPr>
          <w:p w:rsidR="001B2BF1" w:rsidRPr="00FF1FA4" w:rsidRDefault="001B2BF1" w:rsidP="00935858">
            <w:pPr>
              <w:pStyle w:val="NormalWeb"/>
              <w:spacing w:before="2" w:after="2"/>
              <w:ind w:left="360"/>
              <w:jc w:val="center"/>
              <w:rPr>
                <w:rFonts w:ascii="TimesNewRoman" w:hAnsi="TimesNewRoman"/>
                <w:sz w:val="22"/>
                <w:szCs w:val="22"/>
                <w:lang w:val="en-GB"/>
              </w:rPr>
            </w:pPr>
            <w:r w:rsidRPr="00FF1FA4">
              <w:rPr>
                <w:rFonts w:ascii="TimesNewRoman" w:hAnsi="TimesNewRoman"/>
                <w:sz w:val="22"/>
                <w:szCs w:val="22"/>
                <w:lang w:val="en-GB"/>
              </w:rPr>
              <w:t xml:space="preserve">1 &lt; </w:t>
            </w:r>
            <w:r w:rsidRPr="00FF1FA4">
              <w:rPr>
                <w:rFonts w:ascii="TimesNewRoman" w:hAnsi="TimesNewRoman" w:hint="eastAsia"/>
                <w:sz w:val="22"/>
                <w:szCs w:val="22"/>
                <w:lang w:val="en-GB"/>
              </w:rPr>
              <w:t>τ</w:t>
            </w:r>
            <w:r w:rsidRPr="00FF1FA4">
              <w:rPr>
                <w:rFonts w:ascii="TimesNewRoman" w:hAnsi="TimesNewRoman"/>
                <w:sz w:val="22"/>
                <w:szCs w:val="22"/>
                <w:lang w:val="en-GB"/>
              </w:rPr>
              <w:t xml:space="preserve"> ≤ 1000</w:t>
            </w:r>
          </w:p>
        </w:tc>
      </w:tr>
    </w:tbl>
    <w:p w:rsidR="001B2BF1" w:rsidRPr="00FF1FA4" w:rsidRDefault="001B2BF1" w:rsidP="001B2BF1">
      <w:r>
        <w:t>”</w:t>
      </w:r>
    </w:p>
    <w:p w:rsidR="00AF6928" w:rsidRDefault="00D63271" w:rsidP="00AF6928">
      <w:pPr>
        <w:pStyle w:val="Heading1"/>
      </w:pPr>
      <w:r>
        <w:t>Clause C.2.3.1</w:t>
      </w:r>
    </w:p>
    <w:p w:rsidR="00D63271" w:rsidRDefault="00D63271" w:rsidP="00D63271">
      <w:r>
        <w:t xml:space="preserve">Add the following note after the last </w:t>
      </w:r>
      <w:r w:rsidR="00D1468F">
        <w:t>note</w:t>
      </w:r>
      <w:r>
        <w:t xml:space="preserve"> in the </w:t>
      </w:r>
      <w:r w:rsidR="00D1468F">
        <w:t>clause C.2.3.1</w:t>
      </w:r>
      <w:r>
        <w:t>:</w:t>
      </w:r>
    </w:p>
    <w:p w:rsidR="00EF6CC4" w:rsidRDefault="00D63271" w:rsidP="00EF6CC4">
      <w:r>
        <w:t>“</w:t>
      </w:r>
      <w:r w:rsidR="00EF6CC4" w:rsidRPr="009F2983">
        <w:t xml:space="preserve">NOTE – At all permissible noise input levels, the gain peaking of 0.1dB from PTP to 1PPS, or 0.2dB from physical layer frequency to 1PPS is far lower than the permitted noise generation of the clock at the PTP and 1pps outputs.  Therefore it may </w:t>
      </w:r>
      <w:r w:rsidR="005E5131" w:rsidRPr="009F2983">
        <w:t xml:space="preserve">be difficult </w:t>
      </w:r>
      <w:r w:rsidR="00EF6CC4" w:rsidRPr="009F2983">
        <w:t>to verify the gain peaking at either the PTP or 1pps outputs.”</w:t>
      </w:r>
    </w:p>
    <w:p w:rsidR="003968D8" w:rsidRDefault="003968D8" w:rsidP="003968D8">
      <w:pPr>
        <w:pStyle w:val="Heading1"/>
        <w:rPr>
          <w:bCs/>
        </w:rPr>
      </w:pPr>
      <w:r>
        <w:t>Clause C.2</w:t>
      </w:r>
      <w:r>
        <w:rPr>
          <w:bCs/>
        </w:rPr>
        <w:t>.4.2</w:t>
      </w:r>
    </w:p>
    <w:p w:rsidR="003968D8" w:rsidRDefault="003968D8" w:rsidP="003968D8">
      <w:r>
        <w:t>Replace clause C.2.4.2 and subclauses C.2.4.2.1 and C.2.4.2.2 with the following text:</w:t>
      </w:r>
    </w:p>
    <w:p w:rsidR="003968D8" w:rsidRPr="00FF1FA4" w:rsidRDefault="003968D8" w:rsidP="003968D8">
      <w:pPr>
        <w:pStyle w:val="Heading3"/>
        <w:numPr>
          <w:ilvl w:val="0"/>
          <w:numId w:val="0"/>
        </w:numPr>
      </w:pPr>
      <w:r w:rsidRPr="00BF2CA7">
        <w:t>“C.2.4.2</w:t>
      </w:r>
      <w:r w:rsidRPr="00BF2CA7">
        <w:tab/>
        <w:t>Holdover performance</w:t>
      </w:r>
    </w:p>
    <w:p w:rsidR="003968D8" w:rsidRPr="00FF1FA4" w:rsidRDefault="003968D8" w:rsidP="003968D8">
      <w:r w:rsidRPr="00FF1FA4">
        <w:t>When a T-</w:t>
      </w:r>
      <w:r>
        <w:t>TSC</w:t>
      </w:r>
      <w:r w:rsidRPr="00FF1FA4">
        <w:t xml:space="preserve"> loses its </w:t>
      </w:r>
      <w:r w:rsidR="00BF2CA7" w:rsidRPr="0005700D">
        <w:t xml:space="preserve">PTP input </w:t>
      </w:r>
      <w:r w:rsidRPr="00FF1FA4">
        <w:t>references, it enters the phase/time holdover state. Und</w:t>
      </w:r>
      <w:r>
        <w:t>er these circumstances, the T-TSC</w:t>
      </w:r>
      <w:r w:rsidRPr="00FF1FA4">
        <w:t xml:space="preserve"> may either rely on the holdover of a local oscillator, or on a physical layer frequency </w:t>
      </w:r>
      <w:r w:rsidRPr="00BF2CA7">
        <w:t>assistance</w:t>
      </w:r>
      <w:r>
        <w:t xml:space="preserve"> </w:t>
      </w:r>
      <w:r w:rsidRPr="00FF1FA4">
        <w:t xml:space="preserve">reference traceable to a primary reference clock (PRC), or on a combination of both. </w:t>
      </w:r>
    </w:p>
    <w:p w:rsidR="003968D8" w:rsidRPr="00FF1FA4" w:rsidRDefault="003968D8" w:rsidP="003968D8">
      <w:pPr>
        <w:rPr>
          <w:szCs w:val="24"/>
        </w:rPr>
      </w:pPr>
      <w:r w:rsidRPr="00FF1FA4">
        <w:t xml:space="preserve">This requirement reflects the performance of the clock in cases when the </w:t>
      </w:r>
      <w:r w:rsidR="00BF2CA7" w:rsidRPr="0005700D">
        <w:t xml:space="preserve">PTP </w:t>
      </w:r>
      <w:r w:rsidRPr="00FF1FA4">
        <w:t xml:space="preserve">input is ideal followed by disconnection of the packet signal input. For the case of phase/time holdover requirements based on physical layer </w:t>
      </w:r>
      <w:r w:rsidRPr="00BF2CA7">
        <w:t xml:space="preserve">frequency (T-TSC performance with physical layer frequency assistance during loss of </w:t>
      </w:r>
      <w:r w:rsidR="00BF2CA7">
        <w:t>PTP</w:t>
      </w:r>
      <w:r w:rsidRPr="00BF2CA7">
        <w:t xml:space="preserve"> input reference</w:t>
      </w:r>
      <w:r>
        <w:t>)</w:t>
      </w:r>
      <w:r w:rsidRPr="00FF1FA4">
        <w:t>, the frequency physical layer input is ideal.</w:t>
      </w:r>
    </w:p>
    <w:p w:rsidR="003968D8" w:rsidRDefault="003968D8" w:rsidP="003968D8">
      <w:r w:rsidRPr="00FF1FA4">
        <w:t>This requirement bounds the maximum excursions in the output timing signal. Additionally, it restricts the accumulation of the phase movement during input signal impairments or internal disturbances.</w:t>
      </w:r>
    </w:p>
    <w:p w:rsidR="003968D8" w:rsidRPr="00FF1FA4" w:rsidRDefault="003968D8" w:rsidP="003968D8">
      <w:pPr>
        <w:pStyle w:val="Heading5"/>
        <w:numPr>
          <w:ilvl w:val="0"/>
          <w:numId w:val="0"/>
        </w:numPr>
      </w:pPr>
      <w:r w:rsidRPr="00FF1FA4">
        <w:t>C.2.4.2.1</w:t>
      </w:r>
      <w:r w:rsidRPr="00FF1FA4">
        <w:tab/>
        <w:t>T-TSC holdover</w:t>
      </w:r>
    </w:p>
    <w:p w:rsidR="003968D8" w:rsidRPr="00FF1FA4" w:rsidRDefault="003968D8" w:rsidP="003968D8">
      <w:r w:rsidRPr="00FF1FA4">
        <w:t>The phase/time holdover requirements applicable to a T-TSC are for further study.</w:t>
      </w:r>
    </w:p>
    <w:p w:rsidR="003968D8" w:rsidRPr="00FF1FA4" w:rsidRDefault="003968D8" w:rsidP="003968D8">
      <w:pPr>
        <w:pStyle w:val="Heading4"/>
        <w:numPr>
          <w:ilvl w:val="0"/>
          <w:numId w:val="0"/>
        </w:numPr>
      </w:pPr>
      <w:r>
        <w:lastRenderedPageBreak/>
        <w:t>C.2.4.2.2</w:t>
      </w:r>
      <w:r>
        <w:tab/>
        <w:t>T-TS</w:t>
      </w:r>
      <w:r w:rsidRPr="00FF1FA4">
        <w:t xml:space="preserve">C </w:t>
      </w:r>
      <w:r w:rsidR="00BF2CA7">
        <w:t>performance with physical layer frequency assistance during l</w:t>
      </w:r>
      <w:r>
        <w:t xml:space="preserve">oss of </w:t>
      </w:r>
      <w:r w:rsidR="00BF2CA7">
        <w:t>PTP</w:t>
      </w:r>
      <w:r>
        <w:t xml:space="preserve"> Input Reference</w:t>
      </w:r>
    </w:p>
    <w:p w:rsidR="003968D8" w:rsidRDefault="003968D8" w:rsidP="003968D8">
      <w:pPr>
        <w:tabs>
          <w:tab w:val="left" w:pos="720"/>
        </w:tabs>
        <w:overflowPunct/>
        <w:autoSpaceDE/>
        <w:adjustRightInd/>
        <w:spacing w:before="0"/>
      </w:pPr>
      <w:r>
        <w:t xml:space="preserve">The phase/time </w:t>
      </w:r>
      <w:r w:rsidRPr="00E732F4">
        <w:t>output will be measured through a first order low-pass filter with bandwidth of 0.1 Hz.</w:t>
      </w:r>
    </w:p>
    <w:p w:rsidR="003968D8" w:rsidRDefault="003968D8" w:rsidP="003968D8">
      <w:r>
        <w:t xml:space="preserve">The phase/time performance during loss of </w:t>
      </w:r>
      <w:r w:rsidR="00BF2CA7">
        <w:t>PTP</w:t>
      </w:r>
      <w:r>
        <w:t xml:space="preserve"> input reference requirements based on physical layer frequency applicable to a T-TSC under constant temperatur</w:t>
      </w:r>
      <w:r w:rsidR="00BF2CA7">
        <w:t>e conditions is shown in Table C.</w:t>
      </w:r>
      <w:r w:rsidR="00081305">
        <w:t>6</w:t>
      </w:r>
      <w:r>
        <w:t>.  Under constant temperature conditions the maximum observation interval is 1000 seconds.</w:t>
      </w:r>
    </w:p>
    <w:p w:rsidR="00081305" w:rsidRDefault="00081305" w:rsidP="003968D8"/>
    <w:p w:rsidR="003968D8" w:rsidRDefault="00BF2CA7" w:rsidP="003968D8">
      <w:pPr>
        <w:pStyle w:val="TableNoTitle0"/>
        <w:spacing w:before="2"/>
      </w:pPr>
      <w:r>
        <w:t>Table C.</w:t>
      </w:r>
      <w:r w:rsidR="00081305">
        <w:t>6</w:t>
      </w:r>
      <w:r w:rsidR="003968D8">
        <w:t xml:space="preserve"> – Performance allowance during loss of </w:t>
      </w:r>
      <w:r>
        <w:t>PTP</w:t>
      </w:r>
      <w:r w:rsidR="003968D8">
        <w:t xml:space="preserve"> input (MTIE) for T-TSC with constant temperature</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40"/>
        <w:gridCol w:w="4705"/>
      </w:tblGrid>
      <w:tr w:rsidR="003968D8"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head"/>
              <w:spacing w:before="2"/>
              <w:rPr>
                <w:lang w:eastAsia="zh-CN"/>
              </w:rPr>
            </w:pPr>
            <w:r>
              <w:rPr>
                <w:lang w:eastAsia="zh-CN"/>
              </w:rPr>
              <w:t>MTIE limit [ns]</w:t>
            </w:r>
          </w:p>
        </w:tc>
        <w:tc>
          <w:tcPr>
            <w:tcW w:w="4705"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head"/>
              <w:spacing w:before="2"/>
              <w:rPr>
                <w:lang w:eastAsia="zh-CN"/>
              </w:rPr>
            </w:pPr>
            <w:r>
              <w:rPr>
                <w:lang w:eastAsia="zh-CN"/>
              </w:rPr>
              <w:t>Observation interval τ [s]</w:t>
            </w:r>
          </w:p>
        </w:tc>
      </w:tr>
      <w:tr w:rsidR="003968D8"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text"/>
              <w:spacing w:before="2"/>
              <w:jc w:val="center"/>
              <w:rPr>
                <w:lang w:eastAsia="zh-CN"/>
              </w:rPr>
            </w:pPr>
            <w:r>
              <w:rPr>
                <w:lang w:eastAsia="zh-CN"/>
              </w:rPr>
              <w:t>22 + 40 τ</w:t>
            </w:r>
            <w:r>
              <w:rPr>
                <w:vertAlign w:val="superscript"/>
                <w:lang w:eastAsia="zh-CN"/>
              </w:rPr>
              <w:t>0.1</w:t>
            </w:r>
          </w:p>
        </w:tc>
        <w:tc>
          <w:tcPr>
            <w:tcW w:w="4705"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text"/>
              <w:spacing w:before="2"/>
              <w:jc w:val="center"/>
              <w:rPr>
                <w:lang w:eastAsia="zh-CN"/>
              </w:rPr>
            </w:pPr>
            <w:r>
              <w:rPr>
                <w:lang w:eastAsia="zh-CN"/>
              </w:rPr>
              <w:t xml:space="preserve">1 </w:t>
            </w:r>
            <w:r w:rsidR="007B2B2B">
              <w:rPr>
                <w:lang w:eastAsia="zh-CN"/>
              </w:rPr>
              <w:t>≤</w:t>
            </w:r>
            <w:r>
              <w:rPr>
                <w:lang w:eastAsia="zh-CN"/>
              </w:rPr>
              <w:t xml:space="preserve"> τ ≤ 100</w:t>
            </w:r>
          </w:p>
        </w:tc>
      </w:tr>
      <w:tr w:rsidR="003968D8"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text"/>
              <w:spacing w:before="2"/>
              <w:jc w:val="center"/>
              <w:rPr>
                <w:lang w:eastAsia="zh-CN"/>
              </w:rPr>
            </w:pPr>
            <w:r>
              <w:rPr>
                <w:lang w:eastAsia="zh-CN"/>
              </w:rPr>
              <w:t>22+ 25.25 τ</w:t>
            </w:r>
            <w:r>
              <w:rPr>
                <w:vertAlign w:val="superscript"/>
                <w:lang w:eastAsia="zh-CN"/>
              </w:rPr>
              <w:t>0.2</w:t>
            </w:r>
          </w:p>
        </w:tc>
        <w:tc>
          <w:tcPr>
            <w:tcW w:w="4705"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text"/>
              <w:spacing w:before="2"/>
              <w:jc w:val="center"/>
              <w:rPr>
                <w:lang w:eastAsia="zh-CN"/>
              </w:rPr>
            </w:pPr>
            <w:r>
              <w:rPr>
                <w:lang w:eastAsia="zh-CN"/>
              </w:rPr>
              <w:t>100 &lt; τ ≤ 1000</w:t>
            </w:r>
          </w:p>
        </w:tc>
      </w:tr>
    </w:tbl>
    <w:p w:rsidR="003968D8" w:rsidRDefault="003968D8" w:rsidP="003968D8">
      <w:pPr>
        <w:tabs>
          <w:tab w:val="left" w:pos="720"/>
        </w:tabs>
        <w:overflowPunct/>
        <w:autoSpaceDE/>
        <w:adjustRightInd/>
        <w:spacing w:before="0"/>
      </w:pPr>
    </w:p>
    <w:p w:rsidR="003968D8" w:rsidRPr="00E732F4" w:rsidRDefault="003968D8" w:rsidP="003968D8">
      <w:pPr>
        <w:tabs>
          <w:tab w:val="left" w:pos="720"/>
        </w:tabs>
        <w:overflowPunct/>
        <w:autoSpaceDE/>
        <w:adjustRightInd/>
        <w:spacing w:before="0"/>
      </w:pPr>
      <w:r>
        <w:t xml:space="preserve">The phase/time performance during loss of </w:t>
      </w:r>
      <w:r w:rsidR="00BF2CA7">
        <w:t>PTP</w:t>
      </w:r>
      <w:r>
        <w:t xml:space="preserve"> input reference requirements based on physical layer frequency applicable to a T-TSC under variable temperatur</w:t>
      </w:r>
      <w:r w:rsidR="00BF2CA7">
        <w:t>e conditions is shown in Table C.</w:t>
      </w:r>
      <w:r w:rsidR="00081305">
        <w:t>7</w:t>
      </w:r>
      <w:r>
        <w:t>.    Under variable temperature conditions the maximum observation interval is 10000 seconds.</w:t>
      </w:r>
    </w:p>
    <w:p w:rsidR="003968D8" w:rsidRDefault="003968D8" w:rsidP="003968D8"/>
    <w:p w:rsidR="003968D8" w:rsidRDefault="00BF2CA7" w:rsidP="003968D8">
      <w:pPr>
        <w:pStyle w:val="TableNoTitle0"/>
        <w:spacing w:before="2"/>
      </w:pPr>
      <w:r>
        <w:t>Table C.</w:t>
      </w:r>
      <w:r w:rsidR="00081305">
        <w:t>7</w:t>
      </w:r>
      <w:r w:rsidR="003968D8">
        <w:t xml:space="preserve"> – Performance allowance during loss of </w:t>
      </w:r>
      <w:r>
        <w:t>PTP</w:t>
      </w:r>
      <w:r w:rsidR="003968D8">
        <w:t xml:space="preserve"> input (MTIE) for T-TSC with variable temperature</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40"/>
        <w:gridCol w:w="4705"/>
      </w:tblGrid>
      <w:tr w:rsidR="003968D8"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head"/>
              <w:spacing w:before="2"/>
              <w:rPr>
                <w:lang w:eastAsia="zh-CN"/>
              </w:rPr>
            </w:pPr>
            <w:r>
              <w:rPr>
                <w:lang w:eastAsia="zh-CN"/>
              </w:rPr>
              <w:t>MTIE limit [ns]</w:t>
            </w:r>
          </w:p>
        </w:tc>
        <w:tc>
          <w:tcPr>
            <w:tcW w:w="4705"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head"/>
              <w:spacing w:before="2"/>
              <w:rPr>
                <w:lang w:eastAsia="zh-CN"/>
              </w:rPr>
            </w:pPr>
            <w:r>
              <w:rPr>
                <w:lang w:eastAsia="zh-CN"/>
              </w:rPr>
              <w:t>Observation interval τ [s]</w:t>
            </w:r>
          </w:p>
        </w:tc>
      </w:tr>
      <w:tr w:rsidR="003968D8"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3968D8" w:rsidRPr="00554AD2" w:rsidRDefault="003968D8" w:rsidP="00935858">
            <w:pPr>
              <w:pStyle w:val="Tabletext"/>
              <w:spacing w:before="2"/>
              <w:jc w:val="center"/>
              <w:rPr>
                <w:lang w:eastAsia="zh-CN"/>
              </w:rPr>
            </w:pPr>
            <w:r>
              <w:rPr>
                <w:lang w:eastAsia="zh-CN"/>
              </w:rPr>
              <w:t>22 + 40 τ</w:t>
            </w:r>
            <w:r>
              <w:rPr>
                <w:vertAlign w:val="superscript"/>
                <w:lang w:eastAsia="zh-CN"/>
              </w:rPr>
              <w:t>0.1</w:t>
            </w:r>
            <w:r>
              <w:rPr>
                <w:lang w:eastAsia="zh-CN"/>
              </w:rPr>
              <w:t xml:space="preserve"> + 0.5 τ</w:t>
            </w:r>
          </w:p>
        </w:tc>
        <w:tc>
          <w:tcPr>
            <w:tcW w:w="4705"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text"/>
              <w:spacing w:before="2"/>
              <w:jc w:val="center"/>
              <w:rPr>
                <w:lang w:eastAsia="zh-CN"/>
              </w:rPr>
            </w:pPr>
            <w:r>
              <w:rPr>
                <w:lang w:eastAsia="zh-CN"/>
              </w:rPr>
              <w:t xml:space="preserve">1 </w:t>
            </w:r>
            <w:r w:rsidR="007B2B2B">
              <w:rPr>
                <w:lang w:eastAsia="zh-CN"/>
              </w:rPr>
              <w:t>≤</w:t>
            </w:r>
            <w:r>
              <w:rPr>
                <w:lang w:eastAsia="zh-CN"/>
              </w:rPr>
              <w:t xml:space="preserve"> τ ≤ 100</w:t>
            </w:r>
          </w:p>
        </w:tc>
      </w:tr>
      <w:tr w:rsidR="003968D8" w:rsidTr="00935858">
        <w:trPr>
          <w:cantSplit/>
          <w:jc w:val="center"/>
        </w:trPr>
        <w:tc>
          <w:tcPr>
            <w:tcW w:w="4940" w:type="dxa"/>
            <w:tcBorders>
              <w:top w:val="single" w:sz="6" w:space="0" w:color="auto"/>
              <w:left w:val="single" w:sz="6" w:space="0" w:color="auto"/>
              <w:bottom w:val="single" w:sz="6" w:space="0" w:color="auto"/>
              <w:right w:val="single" w:sz="6" w:space="0" w:color="auto"/>
            </w:tcBorders>
            <w:hideMark/>
          </w:tcPr>
          <w:p w:rsidR="003968D8" w:rsidRPr="00554AD2" w:rsidRDefault="003968D8" w:rsidP="00935858">
            <w:pPr>
              <w:pStyle w:val="Tabletext"/>
              <w:spacing w:before="2"/>
              <w:jc w:val="center"/>
              <w:rPr>
                <w:lang w:eastAsia="zh-CN"/>
              </w:rPr>
            </w:pPr>
            <w:r>
              <w:rPr>
                <w:lang w:eastAsia="zh-CN"/>
              </w:rPr>
              <w:t>72+ 25.25 τ</w:t>
            </w:r>
            <w:r>
              <w:rPr>
                <w:vertAlign w:val="superscript"/>
                <w:lang w:eastAsia="zh-CN"/>
              </w:rPr>
              <w:t>0.2</w:t>
            </w:r>
          </w:p>
        </w:tc>
        <w:tc>
          <w:tcPr>
            <w:tcW w:w="4705" w:type="dxa"/>
            <w:tcBorders>
              <w:top w:val="single" w:sz="6" w:space="0" w:color="auto"/>
              <w:left w:val="single" w:sz="6" w:space="0" w:color="auto"/>
              <w:bottom w:val="single" w:sz="6" w:space="0" w:color="auto"/>
              <w:right w:val="single" w:sz="6" w:space="0" w:color="auto"/>
            </w:tcBorders>
            <w:hideMark/>
          </w:tcPr>
          <w:p w:rsidR="003968D8" w:rsidRDefault="003968D8" w:rsidP="00935858">
            <w:pPr>
              <w:pStyle w:val="Tabletext"/>
              <w:spacing w:before="2"/>
              <w:jc w:val="center"/>
              <w:rPr>
                <w:lang w:eastAsia="zh-CN"/>
              </w:rPr>
            </w:pPr>
            <w:r>
              <w:rPr>
                <w:lang w:eastAsia="zh-CN"/>
              </w:rPr>
              <w:t>100 &lt; τ ≤ 1000</w:t>
            </w:r>
          </w:p>
        </w:tc>
      </w:tr>
      <w:tr w:rsidR="003968D8" w:rsidTr="00935858">
        <w:trPr>
          <w:cantSplit/>
          <w:jc w:val="center"/>
        </w:trPr>
        <w:tc>
          <w:tcPr>
            <w:tcW w:w="4940" w:type="dxa"/>
            <w:tcBorders>
              <w:top w:val="single" w:sz="6" w:space="0" w:color="auto"/>
              <w:left w:val="single" w:sz="6" w:space="0" w:color="auto"/>
              <w:bottom w:val="single" w:sz="6" w:space="0" w:color="auto"/>
              <w:right w:val="single" w:sz="6" w:space="0" w:color="auto"/>
            </w:tcBorders>
          </w:tcPr>
          <w:p w:rsidR="003968D8" w:rsidRDefault="00F76929" w:rsidP="00935858">
            <w:pPr>
              <w:pStyle w:val="Tabletext"/>
              <w:spacing w:before="2"/>
              <w:jc w:val="center"/>
              <w:rPr>
                <w:lang w:eastAsia="zh-CN"/>
              </w:rPr>
            </w:pPr>
            <w:r w:rsidRPr="0050019A">
              <w:rPr>
                <w:lang w:eastAsia="zh-CN"/>
              </w:rPr>
              <w:t>for further study</w:t>
            </w:r>
          </w:p>
        </w:tc>
        <w:tc>
          <w:tcPr>
            <w:tcW w:w="4705" w:type="dxa"/>
            <w:tcBorders>
              <w:top w:val="single" w:sz="6" w:space="0" w:color="auto"/>
              <w:left w:val="single" w:sz="6" w:space="0" w:color="auto"/>
              <w:bottom w:val="single" w:sz="6" w:space="0" w:color="auto"/>
              <w:right w:val="single" w:sz="6" w:space="0" w:color="auto"/>
            </w:tcBorders>
          </w:tcPr>
          <w:p w:rsidR="003968D8" w:rsidRDefault="003968D8" w:rsidP="00935858">
            <w:pPr>
              <w:pStyle w:val="Tabletext"/>
              <w:spacing w:before="2"/>
              <w:jc w:val="center"/>
              <w:rPr>
                <w:lang w:eastAsia="zh-CN"/>
              </w:rPr>
            </w:pPr>
            <w:r>
              <w:rPr>
                <w:lang w:eastAsia="zh-CN"/>
              </w:rPr>
              <w:t>1000 &lt; τ ≤ 10000</w:t>
            </w:r>
          </w:p>
        </w:tc>
      </w:tr>
    </w:tbl>
    <w:p w:rsidR="00B80318" w:rsidRDefault="00B80318" w:rsidP="00B80318">
      <w:r>
        <w:t>”</w:t>
      </w:r>
    </w:p>
    <w:p w:rsidR="006335D8" w:rsidRDefault="006335D8" w:rsidP="001B2BF1">
      <w:pPr>
        <w:pStyle w:val="Heading1"/>
      </w:pPr>
      <w:r>
        <w:t>Clause C.2.6</w:t>
      </w:r>
    </w:p>
    <w:p w:rsidR="006335D8" w:rsidRDefault="006335D8" w:rsidP="006335D8">
      <w:r>
        <w:t>Add the following clause C.2.6 after clause C.2.5.</w:t>
      </w:r>
    </w:p>
    <w:p w:rsidR="006335D8" w:rsidRPr="008D0440" w:rsidRDefault="006335D8" w:rsidP="006335D8">
      <w:pPr>
        <w:rPr>
          <w:b/>
          <w:szCs w:val="24"/>
          <w:u w:val="single"/>
          <w:lang w:val="en-US" w:eastAsia="zh-CN"/>
        </w:rPr>
      </w:pPr>
      <w:r>
        <w:t>“</w:t>
      </w:r>
      <w:r>
        <w:rPr>
          <w:b/>
          <w:szCs w:val="24"/>
          <w:u w:val="single"/>
          <w:lang w:val="en-US" w:eastAsia="zh-CN"/>
        </w:rPr>
        <w:t xml:space="preserve">C.2.6 T-TSC performance measurement </w:t>
      </w:r>
    </w:p>
    <w:p w:rsidR="00481927" w:rsidRDefault="00481927" w:rsidP="00481927">
      <w:pPr>
        <w:rPr>
          <w:szCs w:val="24"/>
          <w:lang w:val="en-US" w:eastAsia="zh-CN"/>
        </w:rPr>
      </w:pPr>
      <w:r>
        <w:rPr>
          <w:szCs w:val="24"/>
          <w:lang w:val="en-US" w:eastAsia="zh-CN"/>
        </w:rPr>
        <w:t xml:space="preserve">It is necessary to provide means for </w:t>
      </w:r>
      <w:r w:rsidR="00164A1C">
        <w:rPr>
          <w:szCs w:val="24"/>
          <w:lang w:val="en-US" w:eastAsia="zh-CN"/>
        </w:rPr>
        <w:t>measuring</w:t>
      </w:r>
      <w:r>
        <w:rPr>
          <w:szCs w:val="24"/>
          <w:lang w:val="en-US" w:eastAsia="zh-CN"/>
        </w:rPr>
        <w:t xml:space="preserve"> the T-TSC performance (including when deployed in the field.</w:t>
      </w:r>
    </w:p>
    <w:p w:rsidR="00481927" w:rsidRDefault="00481927" w:rsidP="00481927">
      <w:pPr>
        <w:rPr>
          <w:szCs w:val="24"/>
          <w:lang w:val="en-US" w:eastAsia="zh-CN"/>
        </w:rPr>
      </w:pPr>
      <w:r>
        <w:rPr>
          <w:szCs w:val="24"/>
          <w:lang w:val="en-US" w:eastAsia="zh-CN"/>
        </w:rPr>
        <w:t xml:space="preserve">The use of </w:t>
      </w:r>
      <w:r w:rsidRPr="00EB798A">
        <w:rPr>
          <w:szCs w:val="24"/>
          <w:lang w:val="en-US" w:eastAsia="zh-CN"/>
        </w:rPr>
        <w:t xml:space="preserve">1PPS 50 Ω phase-synchronization measurement </w:t>
      </w:r>
      <w:r>
        <w:rPr>
          <w:szCs w:val="24"/>
          <w:lang w:val="en-US" w:eastAsia="zh-CN"/>
        </w:rPr>
        <w:t xml:space="preserve">output physical interface is the recommended way to perform performance measurement </w:t>
      </w:r>
      <w:r w:rsidRPr="003C0406">
        <w:rPr>
          <w:szCs w:val="24"/>
          <w:lang w:val="en-US" w:eastAsia="zh-CN"/>
        </w:rPr>
        <w:t>and analysis</w:t>
      </w:r>
      <w:r>
        <w:rPr>
          <w:lang w:val="en-US" w:eastAsia="zh-CN"/>
        </w:rPr>
        <w:t xml:space="preserve"> </w:t>
      </w:r>
      <w:r>
        <w:rPr>
          <w:szCs w:val="24"/>
          <w:lang w:val="en-US" w:eastAsia="zh-CN"/>
        </w:rPr>
        <w:t xml:space="preserve">of the T-TSC (see </w:t>
      </w:r>
      <w:r w:rsidR="004D7C26">
        <w:rPr>
          <w:szCs w:val="24"/>
          <w:lang w:val="en-US" w:eastAsia="zh-CN"/>
        </w:rPr>
        <w:t xml:space="preserve">[ITU-T </w:t>
      </w:r>
      <w:r>
        <w:rPr>
          <w:szCs w:val="24"/>
          <w:lang w:val="en-US" w:eastAsia="zh-CN"/>
        </w:rPr>
        <w:t>G.703</w:t>
      </w:r>
      <w:r w:rsidR="004D7C26">
        <w:rPr>
          <w:szCs w:val="24"/>
          <w:lang w:val="en-US" w:eastAsia="zh-CN"/>
        </w:rPr>
        <w:t>]</w:t>
      </w:r>
      <w:r>
        <w:rPr>
          <w:szCs w:val="24"/>
          <w:lang w:val="en-US" w:eastAsia="zh-CN"/>
        </w:rPr>
        <w:t xml:space="preserve">). When time of day information is to be tested other interfaces should be considered (e.g. </w:t>
      </w:r>
      <w:r w:rsidR="00C826C0">
        <w:rPr>
          <w:szCs w:val="24"/>
          <w:lang w:val="en-US" w:eastAsia="zh-CN"/>
        </w:rPr>
        <w:t xml:space="preserve">1PPS </w:t>
      </w:r>
      <w:r>
        <w:rPr>
          <w:szCs w:val="24"/>
          <w:lang w:val="en-US" w:eastAsia="zh-CN"/>
        </w:rPr>
        <w:t>V.11</w:t>
      </w:r>
      <w:r w:rsidR="00C826C0">
        <w:rPr>
          <w:szCs w:val="24"/>
          <w:lang w:val="en-US" w:eastAsia="zh-CN"/>
        </w:rPr>
        <w:t xml:space="preserve"> interface</w:t>
      </w:r>
      <w:r>
        <w:rPr>
          <w:szCs w:val="24"/>
          <w:lang w:val="en-US" w:eastAsia="zh-CN"/>
        </w:rPr>
        <w:t xml:space="preserve">, see </w:t>
      </w:r>
      <w:r w:rsidR="004D7C26">
        <w:rPr>
          <w:szCs w:val="24"/>
          <w:lang w:val="en-US" w:eastAsia="zh-CN"/>
        </w:rPr>
        <w:t xml:space="preserve">[ITU-T </w:t>
      </w:r>
      <w:r>
        <w:rPr>
          <w:szCs w:val="24"/>
          <w:lang w:val="en-US" w:eastAsia="zh-CN"/>
        </w:rPr>
        <w:t>G.703</w:t>
      </w:r>
      <w:r w:rsidR="004D7C26">
        <w:rPr>
          <w:szCs w:val="24"/>
          <w:lang w:val="en-US" w:eastAsia="zh-CN"/>
        </w:rPr>
        <w:t>]</w:t>
      </w:r>
      <w:r>
        <w:rPr>
          <w:szCs w:val="24"/>
          <w:lang w:val="en-US" w:eastAsia="zh-CN"/>
        </w:rPr>
        <w:t>).</w:t>
      </w:r>
    </w:p>
    <w:p w:rsidR="00481927" w:rsidRDefault="00481927" w:rsidP="00481927">
      <w:pPr>
        <w:rPr>
          <w:szCs w:val="24"/>
          <w:lang w:val="en-US" w:eastAsia="zh-CN"/>
        </w:rPr>
      </w:pPr>
      <w:r>
        <w:rPr>
          <w:szCs w:val="24"/>
          <w:lang w:val="en-US" w:eastAsia="zh-CN"/>
        </w:rPr>
        <w:t>Note: for cases when provisioning of dedicated testing interface is not feasible (e.g. due to Equipment dimension</w:t>
      </w:r>
      <w:r w:rsidRPr="00073E7C">
        <w:t xml:space="preserve"> </w:t>
      </w:r>
      <w:r w:rsidRPr="00073E7C">
        <w:rPr>
          <w:szCs w:val="24"/>
          <w:lang w:val="en-US" w:eastAsia="zh-CN"/>
        </w:rPr>
        <w:t>such as equipment related to small cell environments</w:t>
      </w:r>
      <w:r>
        <w:rPr>
          <w:szCs w:val="24"/>
          <w:lang w:val="en-US" w:eastAsia="zh-CN"/>
        </w:rPr>
        <w:t>), other means should be provided. This is for further study.</w:t>
      </w:r>
    </w:p>
    <w:p w:rsidR="00481927" w:rsidRDefault="00481927" w:rsidP="00481927">
      <w:pPr>
        <w:rPr>
          <w:szCs w:val="24"/>
          <w:lang w:val="en-US" w:eastAsia="zh-CN"/>
        </w:rPr>
      </w:pPr>
      <w:r>
        <w:rPr>
          <w:szCs w:val="24"/>
          <w:lang w:val="en-US" w:eastAsia="zh-CN"/>
        </w:rPr>
        <w:t>Note: It may be beneficial to also measure the performance at the output of the End application (e.g. in case of radio base stations at the radio interface output), the definition of the related methods are under responsibility of the relevant standardization body.”</w:t>
      </w:r>
    </w:p>
    <w:p w:rsidR="00935858" w:rsidRDefault="00935858" w:rsidP="001B2BF1">
      <w:pPr>
        <w:pStyle w:val="Heading1"/>
      </w:pPr>
      <w:r>
        <w:lastRenderedPageBreak/>
        <w:t>Appendix II</w:t>
      </w:r>
    </w:p>
    <w:p w:rsidR="00935858" w:rsidRDefault="00935858" w:rsidP="00935858">
      <w:r>
        <w:t>Replace Appendix II with the following text:</w:t>
      </w:r>
    </w:p>
    <w:p w:rsidR="00FA20BB" w:rsidRDefault="00935858" w:rsidP="00FA20BB">
      <w:pPr>
        <w:pStyle w:val="AppendixNoTitle0"/>
        <w:spacing w:before="240"/>
      </w:pPr>
      <w:r>
        <w:t>“</w:t>
      </w:r>
      <w:r w:rsidR="0095190A" w:rsidRPr="00FF1FA4">
        <w:t>Appendix II</w:t>
      </w:r>
    </w:p>
    <w:p w:rsidR="00FA20BB" w:rsidRDefault="0095190A" w:rsidP="00FA20BB">
      <w:pPr>
        <w:pStyle w:val="AppendixNoTitle0"/>
        <w:spacing w:before="240"/>
      </w:pPr>
      <w:r w:rsidRPr="00FF1FA4">
        <w:t>Derivation of T-BC output transient mask due to SyncE/SDH rearrangement</w:t>
      </w:r>
    </w:p>
    <w:p w:rsidR="0095190A" w:rsidRPr="00FF1FA4" w:rsidRDefault="0095190A" w:rsidP="0095190A">
      <w:pPr>
        <w:jc w:val="center"/>
      </w:pPr>
      <w:r w:rsidRPr="00FF1FA4">
        <w:t>(This appendix does not form an integral part of this Recommendation.)</w:t>
      </w:r>
    </w:p>
    <w:p w:rsidR="0095190A" w:rsidRDefault="0095190A" w:rsidP="00935858"/>
    <w:p w:rsidR="00935858" w:rsidRPr="003C5020" w:rsidRDefault="00935858" w:rsidP="00935858">
      <w:pPr>
        <w:rPr>
          <w:szCs w:val="24"/>
        </w:rPr>
      </w:pPr>
      <w:r w:rsidRPr="003C5020">
        <w:rPr>
          <w:szCs w:val="24"/>
        </w:rPr>
        <w:t>The</w:t>
      </w:r>
      <w:r>
        <w:rPr>
          <w:szCs w:val="24"/>
        </w:rPr>
        <w:t xml:space="preserve"> absolute value of</w:t>
      </w:r>
      <w:r w:rsidRPr="003C5020">
        <w:rPr>
          <w:szCs w:val="24"/>
        </w:rPr>
        <w:t xml:space="preserve"> T-BC output phase transient due to a SyncE/SDH rearrangement is derived for the following two mitigation scheme</w:t>
      </w:r>
      <w:r>
        <w:rPr>
          <w:szCs w:val="24"/>
        </w:rPr>
        <w:t>s</w:t>
      </w:r>
      <w:r w:rsidRPr="003C5020">
        <w:rPr>
          <w:szCs w:val="24"/>
        </w:rPr>
        <w:t xml:space="preserve">: </w:t>
      </w:r>
    </w:p>
    <w:p w:rsidR="00935858" w:rsidRPr="003C5020" w:rsidRDefault="00935858" w:rsidP="00935858">
      <w:pPr>
        <w:numPr>
          <w:ilvl w:val="0"/>
          <w:numId w:val="43"/>
        </w:numPr>
        <w:tabs>
          <w:tab w:val="clear" w:pos="794"/>
          <w:tab w:val="left" w:pos="720"/>
        </w:tabs>
        <w:rPr>
          <w:szCs w:val="24"/>
        </w:rPr>
      </w:pPr>
      <w:r w:rsidRPr="003C5020">
        <w:rPr>
          <w:szCs w:val="24"/>
        </w:rPr>
        <w:t>Reject the SyncE/SDH signal on receipt of the SSM that indicates the SyncE/SDH is no longer PRC-traceable, and</w:t>
      </w:r>
    </w:p>
    <w:p w:rsidR="00935858" w:rsidRPr="003C5020" w:rsidRDefault="00935858" w:rsidP="00935858">
      <w:pPr>
        <w:numPr>
          <w:ilvl w:val="0"/>
          <w:numId w:val="43"/>
        </w:numPr>
        <w:tabs>
          <w:tab w:val="clear" w:pos="794"/>
          <w:tab w:val="left" w:pos="720"/>
        </w:tabs>
        <w:rPr>
          <w:szCs w:val="24"/>
        </w:rPr>
      </w:pPr>
      <w:r w:rsidRPr="003C5020">
        <w:rPr>
          <w:szCs w:val="24"/>
        </w:rPr>
        <w:t>Turn off the T-BC filter on receipt of the SSM that indicates the SyncE/SDH is no longer PRC-traceable</w:t>
      </w:r>
    </w:p>
    <w:p w:rsidR="00935858" w:rsidRDefault="00935858" w:rsidP="00935858">
      <w:pPr>
        <w:rPr>
          <w:szCs w:val="24"/>
        </w:rPr>
      </w:pPr>
      <w:r w:rsidRPr="003C5020">
        <w:rPr>
          <w:szCs w:val="24"/>
        </w:rPr>
        <w:t xml:space="preserve">In the derivation, </w:t>
      </w:r>
      <w:r>
        <w:rPr>
          <w:szCs w:val="24"/>
        </w:rPr>
        <w:t xml:space="preserve">the input transient is assumed to be as specified in Figure 12/G.8262, with the initial 120 ns phase change starting at time zero, and the final 120 ns phase change ending 15 s later. </w:t>
      </w:r>
      <w:r w:rsidRPr="003C5020">
        <w:rPr>
          <w:szCs w:val="24"/>
        </w:rPr>
        <w:t xml:space="preserve">The </w:t>
      </w:r>
      <w:r>
        <w:rPr>
          <w:szCs w:val="24"/>
        </w:rPr>
        <w:t>output</w:t>
      </w:r>
      <w:r w:rsidRPr="003C5020">
        <w:rPr>
          <w:szCs w:val="24"/>
        </w:rPr>
        <w:t xml:space="preserve"> transient</w:t>
      </w:r>
      <w:r>
        <w:rPr>
          <w:szCs w:val="24"/>
        </w:rPr>
        <w:t>s</w:t>
      </w:r>
      <w:r w:rsidRPr="003C5020">
        <w:rPr>
          <w:szCs w:val="24"/>
        </w:rPr>
        <w:t xml:space="preserve"> for schemes (a) and (b) are </w:t>
      </w:r>
      <w:r>
        <w:rPr>
          <w:szCs w:val="24"/>
        </w:rPr>
        <w:t>obtained</w:t>
      </w:r>
      <w:r w:rsidRPr="003C5020">
        <w:rPr>
          <w:szCs w:val="24"/>
        </w:rPr>
        <w:t xml:space="preserve">, and the transient mask is taken as the upper envelope of these two </w:t>
      </w:r>
      <w:r>
        <w:rPr>
          <w:szCs w:val="24"/>
        </w:rPr>
        <w:t>output transients</w:t>
      </w:r>
      <w:r w:rsidRPr="003C5020">
        <w:rPr>
          <w:szCs w:val="24"/>
        </w:rPr>
        <w:t xml:space="preserve">.  </w:t>
      </w:r>
    </w:p>
    <w:p w:rsidR="00935858" w:rsidRPr="003C5020" w:rsidRDefault="00935858" w:rsidP="00935858">
      <w:pPr>
        <w:rPr>
          <w:szCs w:val="24"/>
        </w:rPr>
      </w:pPr>
      <w:r w:rsidRPr="003C5020">
        <w:rPr>
          <w:b/>
          <w:szCs w:val="24"/>
        </w:rPr>
        <w:t xml:space="preserve">II.1 </w:t>
      </w:r>
      <w:r w:rsidRPr="003C5020">
        <w:rPr>
          <w:b/>
          <w:szCs w:val="24"/>
        </w:rPr>
        <w:tab/>
        <w:t>Background on assumptions for, and derivation of, T-BC output phase error due to a SyncE</w:t>
      </w:r>
      <w:r w:rsidRPr="003C5020">
        <w:rPr>
          <w:szCs w:val="24"/>
        </w:rPr>
        <w:t>/SDH</w:t>
      </w:r>
      <w:r w:rsidRPr="003C5020">
        <w:rPr>
          <w:b/>
          <w:szCs w:val="24"/>
        </w:rPr>
        <w:t xml:space="preserve"> rearrangement</w:t>
      </w:r>
    </w:p>
    <w:p w:rsidR="00935858" w:rsidRPr="003C5020" w:rsidRDefault="00935858" w:rsidP="00935858">
      <w:pPr>
        <w:rPr>
          <w:szCs w:val="24"/>
        </w:rPr>
      </w:pPr>
      <w:r w:rsidRPr="003C5020">
        <w:rPr>
          <w:szCs w:val="24"/>
        </w:rPr>
        <w:t xml:space="preserve">The T-BC output phase error mask of Figure B.1 of Annex B of this recommendation </w:t>
      </w:r>
      <w:r>
        <w:rPr>
          <w:szCs w:val="24"/>
        </w:rPr>
        <w:t>is</w:t>
      </w:r>
      <w:r w:rsidRPr="003C5020">
        <w:rPr>
          <w:szCs w:val="24"/>
        </w:rPr>
        <w:t xml:space="preserve"> based on two possible techniques for mitigating the output phase error due to the HRM2 rearrangement. With the first technique, the EEC co</w:t>
      </w:r>
      <w:r>
        <w:rPr>
          <w:szCs w:val="24"/>
        </w:rPr>
        <w:t>-</w:t>
      </w:r>
      <w:r w:rsidR="00937B9A">
        <w:rPr>
          <w:szCs w:val="24"/>
        </w:rPr>
        <w:t>l</w:t>
      </w:r>
      <w:r w:rsidRPr="003C5020">
        <w:rPr>
          <w:szCs w:val="24"/>
        </w:rPr>
        <w:t>ocated with the T-BC informs the T-BC that the SyncE/SDH is no longer PRC-traceable when the EEC receives the SSM indicating this. When the T-BC is notified, it rejects the SyncE/SDH transient and operates in the pure PTP mode (i.e., without the use of SyncE/SDH to recover frequency). When the EEC switches a second time and is again PRC-traceable, it informs the T-BC. The T-BC then reacquires the SyncE/SDH signal. The T-BC typically waits at least 10 s after it is informed that the SyncE/SDH is again traceable to reacquire the SyncE/SDH, to ensure that the SyncE/SDH transient is completed; however, the important condition is that the mask of Figure B.1 is satisfied (i.e., the T-BC can reacquire the SyncE/SDH signal sooner than 10 s has elapsed if it can satisfy the mask).</w:t>
      </w:r>
    </w:p>
    <w:p w:rsidR="00935858" w:rsidRPr="003C5020" w:rsidRDefault="00935858" w:rsidP="00935858">
      <w:pPr>
        <w:rPr>
          <w:szCs w:val="24"/>
        </w:rPr>
      </w:pPr>
      <w:r w:rsidRPr="003C5020">
        <w:rPr>
          <w:szCs w:val="24"/>
        </w:rPr>
        <w:t>With the second technique, the T-BC filter is turned off when the T-BC is notified by the EEC that the SyncE/SDH is no longer traceable (i.e., when the EEC receives the SSM indicating this). The turning off of the filter means that it is no longer applied to the incoming PTP signal (as a low-pass filter) or to the SyncE/SDH signal (as a high-pass filter). When the T-BC is notified by the EEC that the SyncE/SEC is again traceable, the filter is again turned on. As with the first technique, the T-BC typically waits at least 10 s to after it is informed that the SyncE/SDH is again traceable to turn the filter on, to ensure that the SyncE/SDH transient is completed; however, the important condition is that the mask of Figure B.1 is satisfied (i.e., the T-BC can turn the filter back on sooner than 10 s has elapsed if it can satisfy the mask). To avoid a transient when the T-BC filter is turned back on, the filter continues to operate on the SyncE/SDH signal (with the SyncE/SDH transient present) and the PTP signal, and the state of the filter is computed throughout the transient (i.e., at each sampling instant). However, the filter output is not used while the filter is turned off; the computations are done only so that the filter state will be known. When the filter is turned back on, the computed filter state at that instant is used as the initial state.</w:t>
      </w:r>
    </w:p>
    <w:p w:rsidR="00935858" w:rsidRPr="003C5020" w:rsidRDefault="00935858" w:rsidP="00935858">
      <w:pPr>
        <w:rPr>
          <w:szCs w:val="24"/>
        </w:rPr>
      </w:pPr>
      <w:r w:rsidRPr="003C5020">
        <w:rPr>
          <w:szCs w:val="24"/>
        </w:rPr>
        <w:lastRenderedPageBreak/>
        <w:t xml:space="preserve">The mask of Figure B.1 </w:t>
      </w:r>
      <w:r>
        <w:rPr>
          <w:szCs w:val="24"/>
        </w:rPr>
        <w:t>is</w:t>
      </w:r>
      <w:r w:rsidRPr="003C5020">
        <w:rPr>
          <w:szCs w:val="24"/>
        </w:rPr>
        <w:t xml:space="preserve"> obtained by computing the</w:t>
      </w:r>
      <w:r>
        <w:rPr>
          <w:szCs w:val="24"/>
        </w:rPr>
        <w:t xml:space="preserve"> absolute value of</w:t>
      </w:r>
      <w:r w:rsidRPr="003C5020">
        <w:rPr>
          <w:szCs w:val="24"/>
        </w:rPr>
        <w:t xml:space="preserve"> T-BC filter output phase error history, for each of the above techniques, assuming the SyncE/SDH undergoes the transient of </w:t>
      </w:r>
      <w:r w:rsidR="0050019A">
        <w:rPr>
          <w:szCs w:val="24"/>
        </w:rPr>
        <w:t>Figure 12/G.8262</w:t>
      </w:r>
      <w:r>
        <w:rPr>
          <w:szCs w:val="24"/>
        </w:rPr>
        <w:t>.</w:t>
      </w:r>
      <w:r w:rsidRPr="003C5020">
        <w:rPr>
          <w:szCs w:val="24"/>
        </w:rPr>
        <w:t xml:space="preserve"> With each technique, it is found that the T-BC filter output history contains an initial transient when SyncE/SDH traceability is lost, and a second transient when or shortly after SyncE/SDH traceability is regained.  The</w:t>
      </w:r>
      <w:r>
        <w:rPr>
          <w:szCs w:val="24"/>
        </w:rPr>
        <w:t xml:space="preserve"> actual</w:t>
      </w:r>
      <w:r w:rsidRPr="003C5020">
        <w:rPr>
          <w:szCs w:val="24"/>
        </w:rPr>
        <w:t xml:space="preserve"> duration of the time interval between the two transients depends on how large the EEC ring is (the interval is longer for larger rings).</w:t>
      </w:r>
      <w:r>
        <w:rPr>
          <w:szCs w:val="24"/>
        </w:rPr>
        <w:t xml:space="preserve"> However, in </w:t>
      </w:r>
      <w:r w:rsidR="0050019A">
        <w:rPr>
          <w:szCs w:val="24"/>
        </w:rPr>
        <w:t>Figure 12/G.8262</w:t>
      </w:r>
      <w:r w:rsidR="004F7F0D">
        <w:rPr>
          <w:szCs w:val="24"/>
        </w:rPr>
        <w:t xml:space="preserve"> </w:t>
      </w:r>
      <w:r>
        <w:rPr>
          <w:szCs w:val="24"/>
        </w:rPr>
        <w:t>the time interval between the start of the initial transient (i.e. the first 120 ns phase change at a rate of 7.5 ppm) and the start of the second transient (i.e., the second 120 ns phase change at a rate of 7.5 ppm) is 14.984 s.</w:t>
      </w:r>
      <w:r w:rsidRPr="003C5020">
        <w:rPr>
          <w:szCs w:val="24"/>
        </w:rPr>
        <w:t xml:space="preserve"> </w:t>
      </w:r>
    </w:p>
    <w:p w:rsidR="00935858" w:rsidRDefault="00935858" w:rsidP="00935858">
      <w:r w:rsidRPr="003C5020">
        <w:t>The steady-state T-BC noise generation</w:t>
      </w:r>
      <w:r>
        <w:t xml:space="preserve"> requirements</w:t>
      </w:r>
      <w:r w:rsidRPr="003C5020">
        <w:t xml:space="preserve"> </w:t>
      </w:r>
      <w:r>
        <w:t>are:</w:t>
      </w:r>
    </w:p>
    <w:p w:rsidR="00935858" w:rsidRDefault="00935858" w:rsidP="00935858">
      <w:pPr>
        <w:numPr>
          <w:ilvl w:val="0"/>
          <w:numId w:val="44"/>
        </w:numPr>
        <w:tabs>
          <w:tab w:val="clear" w:pos="794"/>
          <w:tab w:val="left" w:pos="720"/>
        </w:tabs>
      </w:pPr>
      <w:r>
        <w:t>max|TE| limit of 100 ns for class A and 70 ns for class B (see Table 1 in 7.1).</w:t>
      </w:r>
    </w:p>
    <w:p w:rsidR="00935858" w:rsidRDefault="00935858" w:rsidP="00935858">
      <w:pPr>
        <w:numPr>
          <w:ilvl w:val="0"/>
          <w:numId w:val="44"/>
        </w:numPr>
        <w:tabs>
          <w:tab w:val="clear" w:pos="794"/>
          <w:tab w:val="left" w:pos="720"/>
        </w:tabs>
      </w:pPr>
      <w:r>
        <w:t>cTE limit of ±50 ns for class A and ±20 ns for class B (see Table 2 in 7.1.1).</w:t>
      </w:r>
    </w:p>
    <w:p w:rsidR="00935858" w:rsidRDefault="00935858" w:rsidP="00935858">
      <w:pPr>
        <w:numPr>
          <w:ilvl w:val="0"/>
          <w:numId w:val="44"/>
        </w:numPr>
        <w:tabs>
          <w:tab w:val="clear" w:pos="794"/>
          <w:tab w:val="clear" w:pos="1191"/>
          <w:tab w:val="left" w:pos="1170"/>
        </w:tabs>
        <w:ind w:left="1170" w:hanging="810"/>
      </w:pPr>
      <w:r>
        <w:t xml:space="preserve">dTE MTIE limit of 40 ns, measured through a 0.1 Hz low-pass filter (see Table 3 in 7.1.2). </w:t>
      </w:r>
      <w:r w:rsidRPr="003C5020">
        <w:t>This 40 ns includes the effect of EEC noise generation and timestamp granularity.</w:t>
      </w:r>
    </w:p>
    <w:p w:rsidR="00935858" w:rsidRDefault="00935858" w:rsidP="00935858">
      <w:pPr>
        <w:numPr>
          <w:ilvl w:val="0"/>
          <w:numId w:val="44"/>
        </w:numPr>
        <w:tabs>
          <w:tab w:val="clear" w:pos="794"/>
          <w:tab w:val="clear" w:pos="1191"/>
          <w:tab w:val="left" w:pos="1170"/>
        </w:tabs>
        <w:ind w:left="1170" w:hanging="810"/>
      </w:pPr>
      <w:r>
        <w:t>dTE high-frequency noise limit of 70 ns peak-to-peak, measured through a 0.1 Hz high-pass filter (see 7.1.3).</w:t>
      </w:r>
    </w:p>
    <w:p w:rsidR="00935858" w:rsidRPr="00E96FBF" w:rsidRDefault="00935858" w:rsidP="00935858">
      <w:pPr>
        <w:rPr>
          <w:sz w:val="22"/>
          <w:szCs w:val="22"/>
        </w:rPr>
      </w:pPr>
      <w:r>
        <w:t>The SyncE transient test is done without a measurement filter, and should exclude any constant time error. Ideally, the absolute value of unfiltered dTE is desired.</w:t>
      </w:r>
    </w:p>
    <w:p w:rsidR="00935858" w:rsidRPr="003C5020" w:rsidRDefault="00935858" w:rsidP="00935858">
      <w:pPr>
        <w:rPr>
          <w:szCs w:val="22"/>
        </w:rPr>
      </w:pPr>
      <w:r>
        <w:t xml:space="preserve">Simulations showed that the unfiltered dTE does not exceed 80 ns peak-to-peak. While selected results were not highly asymmetric, they did exhibit some asymmetry. To allow margin for some asymmetry, it will be assumed that the unfiltered dTE max|TE| is 50 ns. </w:t>
      </w:r>
      <w:r>
        <w:rPr>
          <w:szCs w:val="22"/>
        </w:rPr>
        <w:t>It</w:t>
      </w:r>
      <w:r w:rsidRPr="003C5020">
        <w:rPr>
          <w:szCs w:val="22"/>
        </w:rPr>
        <w:t xml:space="preserve"> is</w:t>
      </w:r>
      <w:r>
        <w:rPr>
          <w:szCs w:val="22"/>
        </w:rPr>
        <w:t xml:space="preserve"> further</w:t>
      </w:r>
      <w:r w:rsidRPr="003C5020">
        <w:rPr>
          <w:szCs w:val="22"/>
        </w:rPr>
        <w:t xml:space="preserve"> assumed that the</w:t>
      </w:r>
      <w:r>
        <w:rPr>
          <w:szCs w:val="22"/>
        </w:rPr>
        <w:t xml:space="preserve"> 50 ns</w:t>
      </w:r>
      <w:r w:rsidRPr="003C5020">
        <w:rPr>
          <w:szCs w:val="22"/>
        </w:rPr>
        <w:t xml:space="preserve"> maximum </w:t>
      </w:r>
      <w:r>
        <w:rPr>
          <w:szCs w:val="22"/>
        </w:rPr>
        <w:t>dTE</w:t>
      </w:r>
      <w:r w:rsidRPr="003C5020">
        <w:rPr>
          <w:szCs w:val="22"/>
        </w:rPr>
        <w:t xml:space="preserve"> </w:t>
      </w:r>
      <w:r>
        <w:rPr>
          <w:szCs w:val="22"/>
        </w:rPr>
        <w:t>is</w:t>
      </w:r>
      <w:r w:rsidRPr="003C5020">
        <w:rPr>
          <w:szCs w:val="22"/>
        </w:rPr>
        <w:t xml:space="preserve"> due to steady-state SyncE</w:t>
      </w:r>
      <w:r w:rsidRPr="003C5020">
        <w:t>/SDH</w:t>
      </w:r>
      <w:r w:rsidRPr="003C5020">
        <w:rPr>
          <w:szCs w:val="22"/>
        </w:rPr>
        <w:t xml:space="preserve"> noise accumulation and timestamp granularity. Any phase error due to the SyncE</w:t>
      </w:r>
      <w:r w:rsidRPr="003C5020">
        <w:t>/SDH</w:t>
      </w:r>
      <w:r w:rsidRPr="003C5020">
        <w:rPr>
          <w:szCs w:val="22"/>
        </w:rPr>
        <w:t xml:space="preserve"> rearrangement is added to this. Note that this value does not include the inherent random noise generation in the T-BC, as this has not yet been specified in ITU-T G.8273.2/Y.1368.2; once it is specified, it needs to be considered.</w:t>
      </w:r>
      <w:r>
        <w:rPr>
          <w:szCs w:val="22"/>
        </w:rPr>
        <w:t xml:space="preserve"> In addition, this value does not include cTE. If it is not convenient to remove cTE, this must be added to the mask derived below, i.e., the total max|TE| from Table 1 (100 ns for class A and 70 ns for class B) must be used instead of the assumed 50 ns zero-to-peak for dTE.</w:t>
      </w:r>
    </w:p>
    <w:p w:rsidR="00935858" w:rsidRDefault="00935858" w:rsidP="00935858">
      <w:pPr>
        <w:rPr>
          <w:szCs w:val="24"/>
        </w:rPr>
      </w:pPr>
      <w:r w:rsidRPr="003C5020">
        <w:rPr>
          <w:szCs w:val="24"/>
        </w:rPr>
        <w:t>In all cases, we assume the T-BC input is a PTP packet timing signal with mean Sync message rate of 16 messages/s.  If other assumptions were made, e.g., if the input timing signal were 1 PPS instead of PTP, or if packet selection were performed that caused the mean rate of selected Sync message to be less than 16 messages/s, these cases would need to be analysed. In addition, the T-BC output phase computed is the actual phase (time) error; there is no additional measurement filter.</w:t>
      </w:r>
    </w:p>
    <w:p w:rsidR="00935858" w:rsidRDefault="00935858" w:rsidP="00935858">
      <w:pPr>
        <w:rPr>
          <w:szCs w:val="24"/>
        </w:rPr>
      </w:pPr>
      <w:r>
        <w:rPr>
          <w:szCs w:val="24"/>
        </w:rPr>
        <w:t xml:space="preserve">Note that in Figure III.1/G.8273, which gives the input SyncE transient used in testing, the 120 ns phase changes and 50 ns/s phase rate of change are reduced to 104 ns and 45 ns/s, respectively. This was done to allow some margin in the test. The mask is derived here using the input transient of </w:t>
      </w:r>
      <w:r w:rsidR="0050019A">
        <w:rPr>
          <w:szCs w:val="24"/>
        </w:rPr>
        <w:t>Figure 12/G.8262</w:t>
      </w:r>
      <w:r>
        <w:rPr>
          <w:szCs w:val="24"/>
        </w:rPr>
        <w:t>.</w:t>
      </w:r>
    </w:p>
    <w:p w:rsidR="00935858" w:rsidRPr="003C5020" w:rsidRDefault="00935858" w:rsidP="00935858">
      <w:pPr>
        <w:rPr>
          <w:szCs w:val="24"/>
        </w:rPr>
      </w:pPr>
      <w:r>
        <w:rPr>
          <w:szCs w:val="24"/>
        </w:rPr>
        <w:t xml:space="preserve">In addition, Appendix III/G.8273 presents three test methods. In the analysis here, we make conservative assumptions to produce a single mask that is applicable to all three methods. In particular, the input transient of </w:t>
      </w:r>
      <w:r w:rsidR="0050019A">
        <w:rPr>
          <w:szCs w:val="24"/>
        </w:rPr>
        <w:t>Figure 12/G.8262</w:t>
      </w:r>
      <w:r>
        <w:rPr>
          <w:szCs w:val="24"/>
        </w:rPr>
        <w:t xml:space="preserve">is assumed to be the transient output of the EEC/SEC, which is input to the T-BC (but subject to the assumptions of the two schemes). This is subject to the assumptions that (a) in Method I of Appendix III/G.8273 the filtering of the EEC/SEC can be neglected, and (b) in Method II of Appendix III/G.8273 the output of the EEC/SEC does not exceed the mask of </w:t>
      </w:r>
      <w:r w:rsidR="0050019A">
        <w:rPr>
          <w:szCs w:val="24"/>
        </w:rPr>
        <w:t>Figure 12/G.8262</w:t>
      </w:r>
      <w:r>
        <w:rPr>
          <w:szCs w:val="24"/>
        </w:rPr>
        <w:t xml:space="preserve">when the SyncE/SDH signal input to interface Y (Figure </w:t>
      </w:r>
      <w:r>
        <w:rPr>
          <w:szCs w:val="24"/>
        </w:rPr>
        <w:lastRenderedPageBreak/>
        <w:t>III.1/G.8273) is cut off. Method III of Appendix III/G.8273 is less stringent, because in this method the ESMC QL is changed but no SyncE/SDH transient is applied.</w:t>
      </w:r>
    </w:p>
    <w:p w:rsidR="00935858" w:rsidRPr="003C5020" w:rsidRDefault="00935858" w:rsidP="00935858">
      <w:pPr>
        <w:rPr>
          <w:szCs w:val="24"/>
        </w:rPr>
      </w:pPr>
      <w:r w:rsidRPr="003C5020">
        <w:rPr>
          <w:szCs w:val="24"/>
        </w:rPr>
        <w:t>The following are the assumptions made in computing the T-BC output phase error due to the SyncE/SDH rearrangement, using the first technique, i.e., rejection of the SyncE/SDH transient:</w:t>
      </w:r>
    </w:p>
    <w:p w:rsidR="00935858" w:rsidRPr="003C5020" w:rsidRDefault="00935858" w:rsidP="00935858">
      <w:pPr>
        <w:numPr>
          <w:ilvl w:val="0"/>
          <w:numId w:val="42"/>
        </w:numPr>
        <w:tabs>
          <w:tab w:val="clear" w:pos="794"/>
          <w:tab w:val="left" w:pos="720"/>
        </w:tabs>
        <w:rPr>
          <w:szCs w:val="24"/>
        </w:rPr>
      </w:pPr>
      <w:r w:rsidRPr="003C5020">
        <w:rPr>
          <w:szCs w:val="24"/>
        </w:rPr>
        <w:t xml:space="preserve">The </w:t>
      </w:r>
      <w:r>
        <w:rPr>
          <w:szCs w:val="24"/>
        </w:rPr>
        <w:t xml:space="preserve">input transient to the T-BC at interface Y of Figure III/G.8273 is given by </w:t>
      </w:r>
      <w:r w:rsidR="0050019A">
        <w:rPr>
          <w:szCs w:val="24"/>
        </w:rPr>
        <w:t>Figure 12/G.8262</w:t>
      </w:r>
      <w:r>
        <w:rPr>
          <w:szCs w:val="24"/>
        </w:rPr>
        <w:t>.</w:t>
      </w:r>
      <w:r w:rsidRPr="003C5020">
        <w:rPr>
          <w:szCs w:val="24"/>
        </w:rPr>
        <w:t xml:space="preserve"> </w:t>
      </w:r>
    </w:p>
    <w:p w:rsidR="00935858" w:rsidRPr="003C5020" w:rsidRDefault="00935858" w:rsidP="00935858">
      <w:pPr>
        <w:numPr>
          <w:ilvl w:val="0"/>
          <w:numId w:val="42"/>
        </w:numPr>
        <w:tabs>
          <w:tab w:val="clear" w:pos="794"/>
          <w:tab w:val="left" w:pos="720"/>
        </w:tabs>
        <w:rPr>
          <w:szCs w:val="24"/>
        </w:rPr>
      </w:pPr>
      <w:r w:rsidRPr="003C5020">
        <w:rPr>
          <w:szCs w:val="24"/>
        </w:rPr>
        <w:t>The input PTP packet signal (i.e., carried by Sync and Delay_Req messages) is perfect, i.e., there is no phase error associated with this signal</w:t>
      </w:r>
    </w:p>
    <w:p w:rsidR="00935858" w:rsidRDefault="00935858" w:rsidP="00935858">
      <w:pPr>
        <w:numPr>
          <w:ilvl w:val="0"/>
          <w:numId w:val="42"/>
        </w:numPr>
        <w:tabs>
          <w:tab w:val="clear" w:pos="794"/>
          <w:tab w:val="left" w:pos="720"/>
        </w:tabs>
        <w:rPr>
          <w:szCs w:val="24"/>
        </w:rPr>
      </w:pPr>
      <w:r w:rsidRPr="003C5020">
        <w:rPr>
          <w:szCs w:val="24"/>
        </w:rPr>
        <w:t>The T-BC filter</w:t>
      </w:r>
      <w:r>
        <w:rPr>
          <w:szCs w:val="24"/>
        </w:rPr>
        <w:t xml:space="preserve"> bandwidth</w:t>
      </w:r>
      <w:r w:rsidRPr="003C5020">
        <w:rPr>
          <w:szCs w:val="24"/>
        </w:rPr>
        <w:t xml:space="preserve"> is 0.05 Hz. This is the minimum T-BC and T-TSC bandwidth. It is modelled as a first-order filter, and gain peaking is not modelled.</w:t>
      </w:r>
    </w:p>
    <w:p w:rsidR="00935858" w:rsidRPr="003C5020" w:rsidRDefault="00935858" w:rsidP="00935858">
      <w:pPr>
        <w:numPr>
          <w:ilvl w:val="0"/>
          <w:numId w:val="42"/>
        </w:numPr>
        <w:tabs>
          <w:tab w:val="clear" w:pos="794"/>
          <w:tab w:val="left" w:pos="720"/>
        </w:tabs>
        <w:rPr>
          <w:szCs w:val="24"/>
        </w:rPr>
      </w:pPr>
      <w:r>
        <w:rPr>
          <w:szCs w:val="24"/>
        </w:rPr>
        <w:t xml:space="preserve">The EEC co-located with the T-BC receives an input SSM, indicating the SyncE signal is no longer PRC-traceable. This occurs 500 – 2000 ms after the transient begins, and represents the holdover message delay, i.e., </w:t>
      </w:r>
      <w:r>
        <w:rPr>
          <w:i/>
          <w:szCs w:val="24"/>
        </w:rPr>
        <w:t>T</w:t>
      </w:r>
      <w:r>
        <w:rPr>
          <w:i/>
          <w:szCs w:val="24"/>
          <w:vertAlign w:val="subscript"/>
        </w:rPr>
        <w:t>HM</w:t>
      </w:r>
      <w:r>
        <w:rPr>
          <w:szCs w:val="24"/>
        </w:rPr>
        <w:t xml:space="preserve">. </w:t>
      </w:r>
      <w:r w:rsidRPr="003C5020">
        <w:rPr>
          <w:szCs w:val="24"/>
        </w:rPr>
        <w:t xml:space="preserve">[ITU-T G.781] specifies in 5.14 that </w:t>
      </w:r>
      <w:r w:rsidRPr="003C5020">
        <w:rPr>
          <w:i/>
          <w:szCs w:val="24"/>
        </w:rPr>
        <w:t>T</w:t>
      </w:r>
      <w:r w:rsidRPr="003C5020">
        <w:rPr>
          <w:i/>
          <w:szCs w:val="24"/>
          <w:vertAlign w:val="subscript"/>
        </w:rPr>
        <w:t>HM</w:t>
      </w:r>
      <w:r w:rsidRPr="003C5020">
        <w:rPr>
          <w:szCs w:val="24"/>
        </w:rPr>
        <w:t xml:space="preserve"> is in</w:t>
      </w:r>
      <w:r>
        <w:rPr>
          <w:szCs w:val="24"/>
        </w:rPr>
        <w:t xml:space="preserve"> this range.</w:t>
      </w:r>
    </w:p>
    <w:p w:rsidR="00935858" w:rsidRPr="003C5020" w:rsidRDefault="00935858" w:rsidP="00935858">
      <w:pPr>
        <w:numPr>
          <w:ilvl w:val="0"/>
          <w:numId w:val="42"/>
        </w:numPr>
        <w:tabs>
          <w:tab w:val="clear" w:pos="794"/>
          <w:tab w:val="left" w:pos="720"/>
        </w:tabs>
        <w:rPr>
          <w:szCs w:val="24"/>
        </w:rPr>
      </w:pPr>
      <w:r w:rsidRPr="003C5020">
        <w:rPr>
          <w:szCs w:val="24"/>
        </w:rPr>
        <w:t xml:space="preserve">The EEC </w:t>
      </w:r>
      <w:r w:rsidR="00F76929" w:rsidRPr="006A48E3">
        <w:rPr>
          <w:szCs w:val="24"/>
        </w:rPr>
        <w:t>co-located</w:t>
      </w:r>
      <w:r w:rsidRPr="003C5020">
        <w:rPr>
          <w:szCs w:val="24"/>
        </w:rPr>
        <w:t xml:space="preserve"> with the T-BC sends</w:t>
      </w:r>
      <w:r>
        <w:rPr>
          <w:szCs w:val="24"/>
        </w:rPr>
        <w:t xml:space="preserve"> to the T-BC, via interface Z of Figure III/G.8273,</w:t>
      </w:r>
      <w:r w:rsidRPr="003C5020">
        <w:rPr>
          <w:szCs w:val="24"/>
        </w:rPr>
        <w:t xml:space="preserve"> an SSM indicating it is no longer PRC-traceable</w:t>
      </w:r>
      <w:r>
        <w:rPr>
          <w:szCs w:val="24"/>
        </w:rPr>
        <w:t xml:space="preserve"> between 0 and</w:t>
      </w:r>
      <w:r w:rsidRPr="003C5020">
        <w:rPr>
          <w:szCs w:val="24"/>
        </w:rPr>
        <w:t xml:space="preserve"> 200 ms after it </w:t>
      </w:r>
      <w:r>
        <w:rPr>
          <w:szCs w:val="24"/>
        </w:rPr>
        <w:t xml:space="preserve">receives the changed SSM. This is the non-switching message delay (see 5.14 of [G.781]). This delay is due to software processing in the EEC. </w:t>
      </w:r>
    </w:p>
    <w:p w:rsidR="00935858" w:rsidRPr="003C5020" w:rsidRDefault="00935858" w:rsidP="00935858">
      <w:pPr>
        <w:numPr>
          <w:ilvl w:val="0"/>
          <w:numId w:val="42"/>
        </w:numPr>
        <w:tabs>
          <w:tab w:val="clear" w:pos="794"/>
          <w:tab w:val="left" w:pos="720"/>
        </w:tabs>
        <w:rPr>
          <w:szCs w:val="24"/>
        </w:rPr>
      </w:pPr>
      <w:r w:rsidRPr="003C5020">
        <w:rPr>
          <w:szCs w:val="24"/>
        </w:rPr>
        <w:t>The SyncE/SDH transient is rejected by the T-BC after a time interval has elapsed following the receipt of the SSM. This delay is due to software processes</w:t>
      </w:r>
      <w:r>
        <w:rPr>
          <w:szCs w:val="24"/>
        </w:rPr>
        <w:t xml:space="preserve"> in the T-BC</w:t>
      </w:r>
      <w:r w:rsidRPr="003C5020">
        <w:rPr>
          <w:szCs w:val="24"/>
        </w:rPr>
        <w:t xml:space="preserve">; it is </w:t>
      </w:r>
      <w:r>
        <w:rPr>
          <w:szCs w:val="24"/>
        </w:rPr>
        <w:t>approximated as having</w:t>
      </w:r>
      <w:r w:rsidRPr="003C5020">
        <w:rPr>
          <w:szCs w:val="24"/>
        </w:rPr>
        <w:t xml:space="preserve"> an upper bound</w:t>
      </w:r>
      <w:r>
        <w:rPr>
          <w:szCs w:val="24"/>
        </w:rPr>
        <w:t xml:space="preserve"> that is</w:t>
      </w:r>
      <w:r w:rsidRPr="003C5020">
        <w:rPr>
          <w:szCs w:val="24"/>
        </w:rPr>
        <w:t xml:space="preserve"> equal to the non-switching message delay, i.e., 200 ms in 5.14 of [ITU-T G.781], and a lower bound of zero.</w:t>
      </w:r>
    </w:p>
    <w:p w:rsidR="00935858" w:rsidRPr="003C5020" w:rsidRDefault="00935858" w:rsidP="00935858">
      <w:pPr>
        <w:numPr>
          <w:ilvl w:val="0"/>
          <w:numId w:val="42"/>
        </w:numPr>
        <w:tabs>
          <w:tab w:val="clear" w:pos="794"/>
          <w:tab w:val="left" w:pos="720"/>
        </w:tabs>
        <w:rPr>
          <w:szCs w:val="24"/>
        </w:rPr>
      </w:pPr>
      <w:r w:rsidRPr="003C5020">
        <w:rPr>
          <w:szCs w:val="24"/>
        </w:rPr>
        <w:t>There is a 30 ns phase jump at the T-BC input when the SyncE/SDH is rejected, and a 60 ns phase jump when it is reacquired (simulations showed that max|TE| for HRM2, for a chain of 20 T-BCs, could be kept to within 200 ns with these phase jumps).</w:t>
      </w:r>
    </w:p>
    <w:p w:rsidR="00935858" w:rsidRPr="003C5020" w:rsidRDefault="00935858" w:rsidP="00935858">
      <w:pPr>
        <w:numPr>
          <w:ilvl w:val="0"/>
          <w:numId w:val="42"/>
        </w:numPr>
        <w:tabs>
          <w:tab w:val="clear" w:pos="794"/>
          <w:tab w:val="left" w:pos="720"/>
        </w:tabs>
        <w:rPr>
          <w:szCs w:val="24"/>
        </w:rPr>
      </w:pPr>
      <w:r w:rsidRPr="003C5020">
        <w:rPr>
          <w:szCs w:val="24"/>
        </w:rPr>
        <w:t>The initial part of the SyncE/SDH transient is a 7.5 ppm phase ramp over 16 ms, followed by a 50 ns/s phase ramp, followed by a 30 ns phase jump when the SyncE/SDH signal is rejected. Based on (d)</w:t>
      </w:r>
      <w:r>
        <w:rPr>
          <w:szCs w:val="24"/>
        </w:rPr>
        <w:t>, (e),</w:t>
      </w:r>
      <w:r w:rsidRPr="003C5020">
        <w:rPr>
          <w:szCs w:val="24"/>
        </w:rPr>
        <w:t xml:space="preserve"> and (</w:t>
      </w:r>
      <w:r>
        <w:rPr>
          <w:szCs w:val="24"/>
        </w:rPr>
        <w:t>f</w:t>
      </w:r>
      <w:r w:rsidRPr="003C5020">
        <w:rPr>
          <w:szCs w:val="24"/>
        </w:rPr>
        <w:t>), the earliest the rejection can occur is at 0.5 s (500 ms) after the PRC-traceability is lost.  The latest the rejection can occur is at 2.</w:t>
      </w:r>
      <w:r>
        <w:rPr>
          <w:szCs w:val="24"/>
        </w:rPr>
        <w:t>4</w:t>
      </w:r>
      <w:r w:rsidRPr="003C5020">
        <w:rPr>
          <w:szCs w:val="24"/>
        </w:rPr>
        <w:t xml:space="preserve"> s (2</w:t>
      </w:r>
      <w:r>
        <w:rPr>
          <w:szCs w:val="24"/>
        </w:rPr>
        <w:t>4</w:t>
      </w:r>
      <w:r w:rsidRPr="003C5020">
        <w:rPr>
          <w:szCs w:val="24"/>
        </w:rPr>
        <w:t>00 ms) after PRC-traceability is lost. The 30 ns phase jump can therefore occur anywhere between 500 ms and 2.</w:t>
      </w:r>
      <w:r>
        <w:rPr>
          <w:szCs w:val="24"/>
        </w:rPr>
        <w:t>4</w:t>
      </w:r>
      <w:r w:rsidRPr="003C5020">
        <w:rPr>
          <w:szCs w:val="24"/>
        </w:rPr>
        <w:t xml:space="preserve"> s; to accommodate the worst case, we must take the envelope of all possibilities.  For this envelope, we have an initial 7500 ns/s slope until the time error changes by 120 ns, followed by a 50 ns/s slope to time 500 ms, followed by a 30 ns phase step, followed by a 50 ns/s slope to time 2</w:t>
      </w:r>
      <w:r>
        <w:rPr>
          <w:szCs w:val="24"/>
        </w:rPr>
        <w:t>4</w:t>
      </w:r>
      <w:r w:rsidRPr="003C5020">
        <w:rPr>
          <w:szCs w:val="24"/>
        </w:rPr>
        <w:t xml:space="preserve">00 ms. A constant </w:t>
      </w:r>
      <w:r>
        <w:rPr>
          <w:szCs w:val="24"/>
        </w:rPr>
        <w:t>50</w:t>
      </w:r>
      <w:r w:rsidRPr="003C5020">
        <w:rPr>
          <w:szCs w:val="24"/>
        </w:rPr>
        <w:t xml:space="preserve"> ns phase is added to this entire transient to account for the phase error due to steady-state SyncE/SDH phase noise (see above).</w:t>
      </w:r>
    </w:p>
    <w:p w:rsidR="00935858" w:rsidRPr="003C5020" w:rsidRDefault="00935858" w:rsidP="00935858">
      <w:pPr>
        <w:numPr>
          <w:ilvl w:val="0"/>
          <w:numId w:val="42"/>
        </w:numPr>
        <w:tabs>
          <w:tab w:val="clear" w:pos="794"/>
          <w:tab w:val="left" w:pos="720"/>
        </w:tabs>
        <w:rPr>
          <w:szCs w:val="24"/>
        </w:rPr>
      </w:pPr>
      <w:r w:rsidRPr="003C5020">
        <w:rPr>
          <w:szCs w:val="24"/>
        </w:rPr>
        <w:t>The phase increases described in (g) are assumed to be rapid enough that they are above the 0.1 Hz T-BC filter corner frequency. Since the T-BC filter acts as a high-pass filter on the SyncE/SDH signal, this initial part of the SyncE/SDH transient is passed through the filter approximately unaffected, and the effect of the high-pass filtering can be ignored. This assumption is conservative, as accounting for the high-pass filter could only decrease the output phase error.</w:t>
      </w:r>
      <w:r>
        <w:rPr>
          <w:szCs w:val="24"/>
        </w:rPr>
        <w:t xml:space="preserve"> (Note: There exist signals for which the zero-to-peak and peak-to-peak values are increased by high-pass filtering, e.g., a square wave whose period is much longer than the high-pass filter time constant, i.e., much smaller than the high-pass filter corner frequency. However, the signal of </w:t>
      </w:r>
      <w:r w:rsidR="0050019A">
        <w:rPr>
          <w:szCs w:val="24"/>
        </w:rPr>
        <w:t>Figure 12/G.8262</w:t>
      </w:r>
      <w:r>
        <w:rPr>
          <w:szCs w:val="24"/>
        </w:rPr>
        <w:t>above is not in this category.)</w:t>
      </w:r>
    </w:p>
    <w:p w:rsidR="00935858" w:rsidRPr="003C5020" w:rsidRDefault="00935858" w:rsidP="00935858">
      <w:pPr>
        <w:numPr>
          <w:ilvl w:val="0"/>
          <w:numId w:val="42"/>
        </w:numPr>
        <w:tabs>
          <w:tab w:val="clear" w:pos="794"/>
          <w:tab w:val="left" w:pos="720"/>
        </w:tabs>
        <w:rPr>
          <w:szCs w:val="24"/>
        </w:rPr>
      </w:pPr>
      <w:r w:rsidRPr="003C5020">
        <w:rPr>
          <w:szCs w:val="24"/>
        </w:rPr>
        <w:lastRenderedPageBreak/>
        <w:t>At 2.</w:t>
      </w:r>
      <w:r>
        <w:rPr>
          <w:szCs w:val="24"/>
        </w:rPr>
        <w:t>4</w:t>
      </w:r>
      <w:r w:rsidRPr="003C5020">
        <w:rPr>
          <w:szCs w:val="24"/>
        </w:rPr>
        <w:t xml:space="preserve"> s, the SSM is received by the T-BC and the SyncE/SDH signal is rejected. The T-BC output phase error is an exponential decay with time constant 1/(2π</w:t>
      </w:r>
      <w:r>
        <w:rPr>
          <w:rFonts w:hint="eastAsia"/>
          <w:szCs w:val="24"/>
          <w:lang w:eastAsia="zh-CN"/>
        </w:rPr>
        <w:t>*</w:t>
      </w:r>
      <w:r w:rsidRPr="003C5020">
        <w:rPr>
          <w:szCs w:val="24"/>
        </w:rPr>
        <w:t>0.05 Hz) due to the relaxation of the filter</w:t>
      </w:r>
      <w:r>
        <w:rPr>
          <w:szCs w:val="24"/>
        </w:rPr>
        <w:t xml:space="preserve">. </w:t>
      </w:r>
    </w:p>
    <w:p w:rsidR="00935858" w:rsidRPr="003C5020" w:rsidRDefault="00935858" w:rsidP="00935858">
      <w:pPr>
        <w:numPr>
          <w:ilvl w:val="0"/>
          <w:numId w:val="42"/>
        </w:numPr>
        <w:tabs>
          <w:tab w:val="clear" w:pos="794"/>
          <w:tab w:val="left" w:pos="720"/>
        </w:tabs>
        <w:rPr>
          <w:szCs w:val="24"/>
        </w:rPr>
      </w:pPr>
      <w:r w:rsidRPr="003C5020">
        <w:rPr>
          <w:szCs w:val="24"/>
        </w:rPr>
        <w:t xml:space="preserve">At time </w:t>
      </w:r>
      <w:r>
        <w:rPr>
          <w:szCs w:val="24"/>
        </w:rPr>
        <w:t>14.984</w:t>
      </w:r>
      <w:r w:rsidRPr="003C5020">
        <w:rPr>
          <w:szCs w:val="24"/>
        </w:rPr>
        <w:t xml:space="preserve"> s after the</w:t>
      </w:r>
      <w:r>
        <w:rPr>
          <w:szCs w:val="24"/>
        </w:rPr>
        <w:t xml:space="preserve"> start of the transient, the</w:t>
      </w:r>
      <w:r w:rsidRPr="003C5020">
        <w:rPr>
          <w:szCs w:val="24"/>
        </w:rPr>
        <w:t xml:space="preserve"> SyncE/SDH </w:t>
      </w:r>
      <w:r>
        <w:rPr>
          <w:szCs w:val="24"/>
        </w:rPr>
        <w:t>undergoes a 120 ns phase change, at a rate of 7.5 ppm, and is traceable again. Between 180 ms and 500 ms after this (this is the range for the switching message delay specified in 5.14.1 of [G.781])</w:t>
      </w:r>
      <w:r w:rsidRPr="003C5020">
        <w:rPr>
          <w:szCs w:val="24"/>
        </w:rPr>
        <w:t>,</w:t>
      </w:r>
      <w:r>
        <w:rPr>
          <w:szCs w:val="24"/>
        </w:rPr>
        <w:t xml:space="preserve"> the EEC/SEC sends an SSM indicating this to the T-BC. At some time within 10 s of this, the SyncE signal is restored, and</w:t>
      </w:r>
      <w:r w:rsidRPr="003C5020">
        <w:rPr>
          <w:szCs w:val="24"/>
        </w:rPr>
        <w:t xml:space="preserve"> there is a 60 ns phase step, followed by an exponential decay with time constant 1/(2π</w:t>
      </w:r>
      <w:r>
        <w:rPr>
          <w:rFonts w:hint="eastAsia"/>
          <w:szCs w:val="24"/>
          <w:lang w:eastAsia="zh-CN"/>
        </w:rPr>
        <w:t>*</w:t>
      </w:r>
      <w:r w:rsidRPr="003C5020">
        <w:rPr>
          <w:szCs w:val="24"/>
        </w:rPr>
        <w:t xml:space="preserve">0.05 Hz) to the </w:t>
      </w:r>
      <w:r>
        <w:rPr>
          <w:szCs w:val="24"/>
        </w:rPr>
        <w:t>50</w:t>
      </w:r>
      <w:r w:rsidRPr="003C5020">
        <w:rPr>
          <w:szCs w:val="24"/>
        </w:rPr>
        <w:t xml:space="preserve"> ns level.</w:t>
      </w:r>
      <w:r>
        <w:rPr>
          <w:szCs w:val="24"/>
        </w:rPr>
        <w:t xml:space="preserve"> The means that the 60 ns phase step can occur at any time between 14.984 s + 0.18 s = 15.164 s, and 14.984 s + 0.5 s + 10 s = 25.448 s. The resulting mask will be taken as the upper envelope of all possible 60 ns phase steps in the range 15.164 – 25.448 s, with each phase step followed by an exponential decay.</w:t>
      </w:r>
    </w:p>
    <w:p w:rsidR="00935858" w:rsidRPr="00672EA0" w:rsidRDefault="00935858" w:rsidP="00935858">
      <w:pPr>
        <w:rPr>
          <w:szCs w:val="24"/>
        </w:rPr>
      </w:pPr>
      <w:r w:rsidRPr="003C5020">
        <w:rPr>
          <w:szCs w:val="24"/>
        </w:rPr>
        <w:t>The following assumptions were made in computing the T-BC output phase error due to the SyncE/SDH rearrangement, using the second technique, i.e., turning off the T-BC filter:</w:t>
      </w:r>
    </w:p>
    <w:p w:rsidR="00935858" w:rsidRPr="003C5020" w:rsidRDefault="00935858" w:rsidP="00935858">
      <w:pPr>
        <w:numPr>
          <w:ilvl w:val="0"/>
          <w:numId w:val="42"/>
        </w:numPr>
        <w:tabs>
          <w:tab w:val="clear" w:pos="794"/>
          <w:tab w:val="left" w:pos="720"/>
        </w:tabs>
        <w:rPr>
          <w:szCs w:val="24"/>
        </w:rPr>
      </w:pPr>
      <w:r w:rsidRPr="003C5020">
        <w:rPr>
          <w:szCs w:val="24"/>
        </w:rPr>
        <w:t>This assumption is the same as assumption (a) above for rejection of the SyncE/SDH signal.</w:t>
      </w:r>
    </w:p>
    <w:p w:rsidR="00935858" w:rsidRPr="003C5020" w:rsidRDefault="00935858" w:rsidP="00935858">
      <w:pPr>
        <w:numPr>
          <w:ilvl w:val="0"/>
          <w:numId w:val="42"/>
        </w:numPr>
        <w:tabs>
          <w:tab w:val="clear" w:pos="794"/>
          <w:tab w:val="left" w:pos="720"/>
        </w:tabs>
        <w:rPr>
          <w:szCs w:val="24"/>
        </w:rPr>
      </w:pPr>
      <w:r w:rsidRPr="003C5020">
        <w:rPr>
          <w:szCs w:val="24"/>
        </w:rPr>
        <w:t>This assumption is the same as assumption (b) above for rejection of the SyncE/SDH signal.</w:t>
      </w:r>
    </w:p>
    <w:p w:rsidR="00935858" w:rsidRPr="003C5020" w:rsidRDefault="00935858" w:rsidP="00935858">
      <w:pPr>
        <w:numPr>
          <w:ilvl w:val="0"/>
          <w:numId w:val="42"/>
        </w:numPr>
        <w:tabs>
          <w:tab w:val="clear" w:pos="794"/>
          <w:tab w:val="left" w:pos="720"/>
        </w:tabs>
        <w:rPr>
          <w:szCs w:val="24"/>
        </w:rPr>
      </w:pPr>
      <w:r w:rsidRPr="003C5020">
        <w:rPr>
          <w:szCs w:val="24"/>
        </w:rPr>
        <w:t>This assumption is the same as assumption (c) above for rejection of the SyncE/SDH signal.</w:t>
      </w:r>
    </w:p>
    <w:p w:rsidR="00935858" w:rsidRDefault="00935858" w:rsidP="00935858">
      <w:pPr>
        <w:numPr>
          <w:ilvl w:val="0"/>
          <w:numId w:val="42"/>
        </w:numPr>
        <w:tabs>
          <w:tab w:val="clear" w:pos="794"/>
          <w:tab w:val="left" w:pos="720"/>
        </w:tabs>
        <w:rPr>
          <w:szCs w:val="24"/>
        </w:rPr>
      </w:pPr>
      <w:r w:rsidRPr="003C5020">
        <w:rPr>
          <w:szCs w:val="24"/>
        </w:rPr>
        <w:t>This assumption is the same as assumption (d) above for rejection of the SyncE/SDH signal.</w:t>
      </w:r>
    </w:p>
    <w:p w:rsidR="00935858" w:rsidRPr="003C5020" w:rsidRDefault="00935858" w:rsidP="00935858">
      <w:pPr>
        <w:numPr>
          <w:ilvl w:val="0"/>
          <w:numId w:val="42"/>
        </w:numPr>
        <w:tabs>
          <w:tab w:val="clear" w:pos="794"/>
          <w:tab w:val="left" w:pos="720"/>
        </w:tabs>
        <w:rPr>
          <w:szCs w:val="24"/>
        </w:rPr>
      </w:pPr>
      <w:r>
        <w:rPr>
          <w:szCs w:val="24"/>
        </w:rPr>
        <w:t>This assumption is the same as assumption (e) above for rejection of the SyncE/SDH signal.</w:t>
      </w:r>
    </w:p>
    <w:p w:rsidR="00935858" w:rsidRDefault="00935858" w:rsidP="00935858">
      <w:pPr>
        <w:numPr>
          <w:ilvl w:val="0"/>
          <w:numId w:val="42"/>
        </w:numPr>
        <w:tabs>
          <w:tab w:val="clear" w:pos="794"/>
          <w:tab w:val="left" w:pos="720"/>
        </w:tabs>
        <w:rPr>
          <w:szCs w:val="24"/>
        </w:rPr>
      </w:pPr>
      <w:r w:rsidRPr="003C5020">
        <w:rPr>
          <w:szCs w:val="24"/>
        </w:rPr>
        <w:t>The T-BC filter is turned off after a time interval has elapsed following the receipt of the SSM. This delay is due to software processes</w:t>
      </w:r>
      <w:r>
        <w:rPr>
          <w:szCs w:val="24"/>
        </w:rPr>
        <w:t xml:space="preserve"> in the T-BC</w:t>
      </w:r>
      <w:r w:rsidRPr="003C5020">
        <w:rPr>
          <w:szCs w:val="24"/>
        </w:rPr>
        <w:t>; it is taken to have an upper bound equal to the non-switching message delay, i.e., 200 ms in 5.14 of [ITU-T G.781], and a lower bound of zero. When the next Sync message is received, an immediate correction to the time is made. While this Sync message carries the GM time, the T-BC phase error immediately after the correction is not zero because the most recent mean propagation delay computation was, in worst-case, based previously received Sync and Delay_Req messages whose arrival and departure, respectively, were timestamped during the SyncE/SDH transient. The mean propagation delay is given by[ (</w:t>
      </w:r>
      <w:r w:rsidRPr="003C5020">
        <w:rPr>
          <w:i/>
          <w:szCs w:val="24"/>
        </w:rPr>
        <w:t>T</w:t>
      </w:r>
      <w:r w:rsidRPr="003C5020">
        <w:rPr>
          <w:szCs w:val="24"/>
          <w:vertAlign w:val="subscript"/>
        </w:rPr>
        <w:t>4</w:t>
      </w:r>
      <w:r w:rsidRPr="003C5020">
        <w:rPr>
          <w:szCs w:val="24"/>
        </w:rPr>
        <w:t xml:space="preserve"> – </w:t>
      </w:r>
      <w:r w:rsidRPr="003C5020">
        <w:rPr>
          <w:i/>
          <w:szCs w:val="24"/>
        </w:rPr>
        <w:t>T</w:t>
      </w:r>
      <w:r w:rsidRPr="003C5020">
        <w:rPr>
          <w:i/>
          <w:szCs w:val="24"/>
          <w:vertAlign w:val="subscript"/>
        </w:rPr>
        <w:t>1</w:t>
      </w:r>
      <w:r w:rsidRPr="003C5020">
        <w:rPr>
          <w:szCs w:val="24"/>
        </w:rPr>
        <w:t>) – (</w:t>
      </w:r>
      <w:r w:rsidRPr="003C5020">
        <w:rPr>
          <w:i/>
          <w:szCs w:val="24"/>
        </w:rPr>
        <w:t>T</w:t>
      </w:r>
      <w:r w:rsidRPr="003C5020">
        <w:rPr>
          <w:szCs w:val="24"/>
          <w:vertAlign w:val="subscript"/>
        </w:rPr>
        <w:t>3</w:t>
      </w:r>
      <w:r w:rsidRPr="003C5020">
        <w:rPr>
          <w:szCs w:val="24"/>
        </w:rPr>
        <w:t xml:space="preserve"> – </w:t>
      </w:r>
      <w:r w:rsidRPr="003C5020">
        <w:rPr>
          <w:i/>
          <w:szCs w:val="24"/>
        </w:rPr>
        <w:t>T</w:t>
      </w:r>
      <w:r w:rsidRPr="003C5020">
        <w:rPr>
          <w:i/>
          <w:szCs w:val="24"/>
          <w:vertAlign w:val="subscript"/>
        </w:rPr>
        <w:t>2</w:t>
      </w:r>
      <w:r w:rsidRPr="003C5020">
        <w:rPr>
          <w:szCs w:val="24"/>
        </w:rPr>
        <w:t xml:space="preserve">)]/2. If we assume that the time interval between the receipt of the most recent Sync and the most recent Delay_Req is, in worst case, two mean Delay_Req intervals, then the error in mean propagation delay is equal to the accumulated phase error over these two mean Delay_Req intervals, divided by 2.  This value is (2)(0.0625 s)(50 ns/s)/2 = 3.125 ns.   Then, the T-BC phase error due to the SyncE/SDH transient decreases to 3.125 ns above the </w:t>
      </w:r>
      <w:r>
        <w:rPr>
          <w:szCs w:val="24"/>
        </w:rPr>
        <w:t>50</w:t>
      </w:r>
      <w:r w:rsidRPr="003C5020">
        <w:rPr>
          <w:szCs w:val="24"/>
        </w:rPr>
        <w:t xml:space="preserve"> ns steady-state error, or </w:t>
      </w:r>
      <w:r>
        <w:rPr>
          <w:szCs w:val="24"/>
        </w:rPr>
        <w:t>53.125</w:t>
      </w:r>
      <w:r w:rsidRPr="003C5020">
        <w:rPr>
          <w:szCs w:val="24"/>
        </w:rPr>
        <w:t xml:space="preserve"> ns, when this next Sync message is received. This occurs at most 0.125 s later, or at 2.</w:t>
      </w:r>
      <w:r>
        <w:rPr>
          <w:szCs w:val="24"/>
        </w:rPr>
        <w:t>5</w:t>
      </w:r>
      <w:r w:rsidRPr="003C5020">
        <w:rPr>
          <w:szCs w:val="24"/>
        </w:rPr>
        <w:t>25 s (i.e., at most two mean Sync intervals, since it is assumed that the actual time between Sync messages is bounded by 2 mean Sync intervals). When the next Sync message after this one is received, which is at most 0.125 s after 2.</w:t>
      </w:r>
      <w:r>
        <w:rPr>
          <w:szCs w:val="24"/>
        </w:rPr>
        <w:t>5</w:t>
      </w:r>
      <w:r w:rsidRPr="003C5020">
        <w:rPr>
          <w:szCs w:val="24"/>
        </w:rPr>
        <w:t>25 s, or 2.</w:t>
      </w:r>
      <w:r>
        <w:rPr>
          <w:szCs w:val="24"/>
        </w:rPr>
        <w:t>6</w:t>
      </w:r>
      <w:r w:rsidRPr="003C5020">
        <w:rPr>
          <w:szCs w:val="24"/>
        </w:rPr>
        <w:t xml:space="preserve">5 s, the T-BC phase error decreases to </w:t>
      </w:r>
      <w:r>
        <w:rPr>
          <w:szCs w:val="24"/>
        </w:rPr>
        <w:t>50</w:t>
      </w:r>
      <w:r w:rsidRPr="003C5020">
        <w:rPr>
          <w:szCs w:val="24"/>
        </w:rPr>
        <w:t xml:space="preserve"> ns.</w:t>
      </w:r>
    </w:p>
    <w:p w:rsidR="00935858" w:rsidRPr="003C5020" w:rsidRDefault="00935858" w:rsidP="00935858">
      <w:pPr>
        <w:numPr>
          <w:ilvl w:val="0"/>
          <w:numId w:val="42"/>
        </w:numPr>
        <w:tabs>
          <w:tab w:val="clear" w:pos="794"/>
          <w:tab w:val="left" w:pos="720"/>
        </w:tabs>
        <w:rPr>
          <w:szCs w:val="24"/>
        </w:rPr>
      </w:pPr>
      <w:r>
        <w:rPr>
          <w:szCs w:val="24"/>
        </w:rPr>
        <w:t xml:space="preserve">Between 2.65 s and when the SyncE/SDH signal is again traceable, at 14.984 s, the SyncE/SDH signal has a 50 ns/s frequency offset. This means that, since T-BC filtering is turned off, the T-BC phase error increases by (50 ns/s)(0.125 s) = 6.25 ns over the interval between successive Sync messages (the inter-message interval is taken as 0.125 s because 6.2.8 of [G.8275.1] specifies that the actual Sync interval must not exceed two mean Sync intervals). When the next Sync message is received, this component of the phase error decreases to zero, and then increases again until the next Sync message is received. The actual output transient over this time interval is a sawtooth. Since, as will be seen later, the </w:t>
      </w:r>
      <w:r>
        <w:rPr>
          <w:szCs w:val="24"/>
        </w:rPr>
        <w:lastRenderedPageBreak/>
        <w:t>time error for the first technique (i.e., rejecting the SyncE transient) is larger over most of the interval between 2.45 s and 14.984 s, we approximate this component of error by simply adding a constant 6.25 ns. Then, in (q) above, we approximate the error as 59.375 in the range 2.525 – 2.65 s, and 56.25 ns in the range 2.65 – 14.984 s.</w:t>
      </w:r>
    </w:p>
    <w:p w:rsidR="00935858" w:rsidRDefault="00935858" w:rsidP="00935858">
      <w:pPr>
        <w:numPr>
          <w:ilvl w:val="0"/>
          <w:numId w:val="42"/>
        </w:numPr>
        <w:tabs>
          <w:tab w:val="clear" w:pos="794"/>
          <w:tab w:val="left" w:pos="720"/>
        </w:tabs>
        <w:rPr>
          <w:szCs w:val="24"/>
        </w:rPr>
      </w:pPr>
      <w:r w:rsidRPr="003C5020">
        <w:rPr>
          <w:szCs w:val="24"/>
        </w:rPr>
        <w:t>When the SyncE/SDH is again traceable,</w:t>
      </w:r>
      <w:r>
        <w:rPr>
          <w:szCs w:val="24"/>
        </w:rPr>
        <w:t xml:space="preserve"> at 14.984 s,</w:t>
      </w:r>
      <w:r w:rsidRPr="003C5020">
        <w:rPr>
          <w:szCs w:val="24"/>
        </w:rPr>
        <w:t xml:space="preserve"> the second 120 ns phase change over 16 ms interval (i.e., a 7500 ppm phase ramp) appears on the T-BC output. This 120 ns phase error lasts for at most 2 Sync intervals (i.e.,</w:t>
      </w:r>
      <w:r>
        <w:rPr>
          <w:szCs w:val="24"/>
        </w:rPr>
        <w:t xml:space="preserve"> as indicated above, this is</w:t>
      </w:r>
      <w:r w:rsidRPr="003C5020">
        <w:rPr>
          <w:szCs w:val="24"/>
        </w:rPr>
        <w:t xml:space="preserve"> the longest interval that elapses before the next Sync message is received</w:t>
      </w:r>
      <w:r>
        <w:rPr>
          <w:szCs w:val="24"/>
        </w:rPr>
        <w:t>, because 6.2.8 of [G.8275.1] specifies that the actual Sync interval must not exceed two mean Sync intervals)</w:t>
      </w:r>
      <w:r w:rsidRPr="003C5020">
        <w:rPr>
          <w:szCs w:val="24"/>
        </w:rPr>
        <w:t>, and then the error is immediately corrected because the T-BC filter is still turned off. The SSM is received</w:t>
      </w:r>
      <w:r>
        <w:rPr>
          <w:szCs w:val="24"/>
        </w:rPr>
        <w:t xml:space="preserve"> between 180 ms and 500 ms later (i.e., in the range 15.164 – 15.484 s)</w:t>
      </w:r>
      <w:r w:rsidRPr="003C5020">
        <w:rPr>
          <w:szCs w:val="24"/>
        </w:rPr>
        <w:t xml:space="preserve"> indicating the SyncE/SDH is again traceable, and the T-BC filter is turned back on</w:t>
      </w:r>
      <w:r>
        <w:rPr>
          <w:szCs w:val="24"/>
        </w:rPr>
        <w:t xml:space="preserve"> between 0 and </w:t>
      </w:r>
      <w:r w:rsidRPr="003C5020">
        <w:rPr>
          <w:szCs w:val="24"/>
        </w:rPr>
        <w:t>10 s later</w:t>
      </w:r>
      <w:r>
        <w:rPr>
          <w:szCs w:val="24"/>
        </w:rPr>
        <w:t xml:space="preserve"> (i.e., in the range 15.164 – 25.484 s)</w:t>
      </w:r>
      <w:r w:rsidRPr="003C5020">
        <w:rPr>
          <w:szCs w:val="24"/>
        </w:rPr>
        <w:t>. As was the case when the T-BC filter was turned off (see (</w:t>
      </w:r>
      <w:r>
        <w:rPr>
          <w:szCs w:val="24"/>
        </w:rPr>
        <w:t>q</w:t>
      </w:r>
      <w:r w:rsidRPr="003C5020">
        <w:rPr>
          <w:szCs w:val="24"/>
        </w:rPr>
        <w:t xml:space="preserve">) above), there is still phase error due to the fact that the most recent Sync and Delay_Req messages, which were used for the most recent propagation delay measurement, occurred during the transient when the SyncE/SDH reacquires its reference.  In this case, the worst-case is when </w:t>
      </w:r>
      <w:r w:rsidRPr="003C5020">
        <w:rPr>
          <w:i/>
          <w:szCs w:val="24"/>
        </w:rPr>
        <w:t>T</w:t>
      </w:r>
      <w:r w:rsidRPr="003C5020">
        <w:rPr>
          <w:szCs w:val="24"/>
          <w:vertAlign w:val="subscript"/>
        </w:rPr>
        <w:t>2</w:t>
      </w:r>
      <w:r w:rsidRPr="003C5020">
        <w:rPr>
          <w:szCs w:val="24"/>
        </w:rPr>
        <w:t xml:space="preserve"> was taken just when the SyncE/SDH again became traceable, and </w:t>
      </w:r>
      <w:r w:rsidRPr="003C5020">
        <w:rPr>
          <w:i/>
          <w:szCs w:val="24"/>
        </w:rPr>
        <w:t>T</w:t>
      </w:r>
      <w:r w:rsidRPr="003C5020">
        <w:rPr>
          <w:szCs w:val="24"/>
          <w:vertAlign w:val="subscript"/>
        </w:rPr>
        <w:t>3</w:t>
      </w:r>
      <w:r w:rsidRPr="003C5020">
        <w:rPr>
          <w:szCs w:val="24"/>
        </w:rPr>
        <w:t xml:space="preserve"> was taken 0.125 s later. The phase error during this interval between the </w:t>
      </w:r>
      <w:r w:rsidRPr="003C5020">
        <w:rPr>
          <w:i/>
          <w:szCs w:val="24"/>
        </w:rPr>
        <w:t>T</w:t>
      </w:r>
      <w:r w:rsidRPr="003C5020">
        <w:rPr>
          <w:i/>
          <w:szCs w:val="24"/>
          <w:vertAlign w:val="subscript"/>
        </w:rPr>
        <w:t>3</w:t>
      </w:r>
      <w:r w:rsidRPr="003C5020">
        <w:rPr>
          <w:szCs w:val="24"/>
        </w:rPr>
        <w:t xml:space="preserve"> and </w:t>
      </w:r>
      <w:r w:rsidRPr="003C5020">
        <w:rPr>
          <w:i/>
          <w:szCs w:val="24"/>
        </w:rPr>
        <w:t>T</w:t>
      </w:r>
      <w:r w:rsidRPr="003C5020">
        <w:rPr>
          <w:szCs w:val="24"/>
          <w:vertAlign w:val="subscript"/>
        </w:rPr>
        <w:t>2</w:t>
      </w:r>
      <w:r w:rsidRPr="003C5020">
        <w:rPr>
          <w:szCs w:val="24"/>
        </w:rPr>
        <w:t xml:space="preserve"> timestamps is [(0.016 s)(7500 ns/s) + (0.125 s – 0.016 s)(0 ns/s)]/2 = 60 ns. Then, on receipt of the next Sync message after the T-BC filter is turned on, the T-BC phase error decreases to </w:t>
      </w:r>
      <w:r>
        <w:rPr>
          <w:szCs w:val="24"/>
        </w:rPr>
        <w:t>56.25</w:t>
      </w:r>
      <w:r w:rsidRPr="003C5020">
        <w:rPr>
          <w:szCs w:val="24"/>
        </w:rPr>
        <w:t xml:space="preserve"> ns + 60 ns = 1</w:t>
      </w:r>
      <w:r>
        <w:rPr>
          <w:szCs w:val="24"/>
        </w:rPr>
        <w:t>16.25</w:t>
      </w:r>
      <w:r w:rsidRPr="003C5020">
        <w:rPr>
          <w:szCs w:val="24"/>
        </w:rPr>
        <w:t xml:space="preserve"> ns.  When the next Sync message is received 0.125 s after this, the T-BC phase error decreases to </w:t>
      </w:r>
      <w:r>
        <w:rPr>
          <w:szCs w:val="24"/>
        </w:rPr>
        <w:t>50</w:t>
      </w:r>
      <w:r w:rsidRPr="003C5020">
        <w:rPr>
          <w:szCs w:val="24"/>
        </w:rPr>
        <w:t xml:space="preserve"> ns.</w:t>
      </w:r>
    </w:p>
    <w:p w:rsidR="00935858" w:rsidRPr="003C5020" w:rsidRDefault="00935858" w:rsidP="00935858">
      <w:pPr>
        <w:rPr>
          <w:szCs w:val="24"/>
        </w:rPr>
      </w:pPr>
      <w:r w:rsidRPr="003C5020">
        <w:rPr>
          <w:szCs w:val="24"/>
        </w:rPr>
        <w:t>The above assumptions (a) – (</w:t>
      </w:r>
      <w:r>
        <w:rPr>
          <w:rFonts w:hint="eastAsia"/>
          <w:szCs w:val="24"/>
          <w:lang w:eastAsia="zh-CN"/>
        </w:rPr>
        <w:t>q</w:t>
      </w:r>
      <w:r w:rsidRPr="003C5020">
        <w:rPr>
          <w:szCs w:val="24"/>
        </w:rPr>
        <w:t>) produce the T-BC output transients given in Tables II.1 and II.2. In addition to these assumptions, the SyncE/SDH signal was assumed to again be PRC-traceable after 15 s. The transients are continued to 50 s after the loss of traceability. The transients are shown in Figure II.</w:t>
      </w:r>
      <w:r w:rsidR="0050019A">
        <w:rPr>
          <w:szCs w:val="24"/>
        </w:rPr>
        <w:t>1</w:t>
      </w:r>
      <w:r w:rsidRPr="003C5020">
        <w:rPr>
          <w:szCs w:val="24"/>
        </w:rPr>
        <w:t xml:space="preserve">. </w:t>
      </w:r>
    </w:p>
    <w:p w:rsidR="00935858" w:rsidRPr="003C5020" w:rsidRDefault="00935858" w:rsidP="00935858">
      <w:pPr>
        <w:rPr>
          <w:szCs w:val="24"/>
        </w:rPr>
      </w:pPr>
    </w:p>
    <w:p w:rsidR="00935858" w:rsidRDefault="00935858" w:rsidP="00935858">
      <w:pPr>
        <w:jc w:val="center"/>
        <w:rPr>
          <w:sz w:val="22"/>
          <w:szCs w:val="22"/>
        </w:rPr>
      </w:pPr>
    </w:p>
    <w:p w:rsidR="0050019A" w:rsidRPr="003C5020" w:rsidRDefault="00450EFD" w:rsidP="00935858">
      <w:pPr>
        <w:jc w:val="center"/>
        <w:rPr>
          <w:sz w:val="22"/>
          <w:szCs w:val="22"/>
        </w:rPr>
      </w:pPr>
      <w:r>
        <w:rPr>
          <w:noProof/>
          <w:sz w:val="22"/>
          <w:szCs w:val="22"/>
          <w:lang w:eastAsia="zh-CN"/>
        </w:rPr>
        <w:lastRenderedPageBreak/>
        <w:drawing>
          <wp:inline distT="0" distB="0" distL="0" distR="0">
            <wp:extent cx="5481320" cy="4789805"/>
            <wp:effectExtent l="19050" t="0" r="508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5481320" cy="4789805"/>
                    </a:xfrm>
                    <a:prstGeom prst="rect">
                      <a:avLst/>
                    </a:prstGeom>
                    <a:noFill/>
                    <a:ln w="9525">
                      <a:noFill/>
                      <a:miter lim="800000"/>
                      <a:headEnd/>
                      <a:tailEnd/>
                    </a:ln>
                  </pic:spPr>
                </pic:pic>
              </a:graphicData>
            </a:graphic>
          </wp:inline>
        </w:drawing>
      </w:r>
    </w:p>
    <w:p w:rsidR="00935858" w:rsidRDefault="00935858" w:rsidP="00935858">
      <w:pPr>
        <w:ind w:left="810" w:hanging="810"/>
        <w:jc w:val="center"/>
        <w:rPr>
          <w:b/>
          <w:bCs/>
          <w:szCs w:val="24"/>
        </w:rPr>
      </w:pPr>
      <w:r w:rsidRPr="003C5020">
        <w:rPr>
          <w:b/>
          <w:bCs/>
          <w:szCs w:val="24"/>
        </w:rPr>
        <w:t>Figure II.</w:t>
      </w:r>
      <w:r w:rsidR="0050019A">
        <w:rPr>
          <w:b/>
          <w:bCs/>
          <w:szCs w:val="24"/>
        </w:rPr>
        <w:t>1</w:t>
      </w:r>
      <w:r w:rsidR="0050019A" w:rsidRPr="003C5020">
        <w:rPr>
          <w:b/>
          <w:bCs/>
          <w:szCs w:val="24"/>
        </w:rPr>
        <w:t xml:space="preserve"> </w:t>
      </w:r>
      <w:r w:rsidRPr="003C5020">
        <w:rPr>
          <w:b/>
          <w:bCs/>
          <w:szCs w:val="24"/>
        </w:rPr>
        <w:t>– T-BC output phase error histories for each of the two techniques, assuming SyncE/SDH transient starts at time zero.</w:t>
      </w:r>
    </w:p>
    <w:p w:rsidR="004F7F0D" w:rsidRPr="003C5020" w:rsidRDefault="004F7F0D" w:rsidP="00935858">
      <w:pPr>
        <w:ind w:left="810" w:hanging="810"/>
        <w:jc w:val="center"/>
        <w:rPr>
          <w:b/>
          <w:bCs/>
          <w:szCs w:val="24"/>
        </w:rPr>
      </w:pPr>
    </w:p>
    <w:p w:rsidR="00935858" w:rsidRPr="003C5020" w:rsidRDefault="00935858" w:rsidP="00935858">
      <w:pPr>
        <w:keepNext/>
        <w:keepLines/>
        <w:spacing w:after="120"/>
        <w:jc w:val="center"/>
        <w:rPr>
          <w:b/>
          <w:bCs/>
          <w:szCs w:val="24"/>
        </w:rPr>
      </w:pPr>
      <w:r w:rsidRPr="003C5020">
        <w:rPr>
          <w:b/>
          <w:bCs/>
          <w:szCs w:val="24"/>
        </w:rPr>
        <w:t>Table II.</w:t>
      </w:r>
      <w:r w:rsidR="00577567" w:rsidRPr="003C5020">
        <w:rPr>
          <w:b/>
          <w:bCs/>
          <w:szCs w:val="24"/>
        </w:rPr>
        <w:fldChar w:fldCharType="begin"/>
      </w:r>
      <w:r w:rsidRPr="003C5020">
        <w:rPr>
          <w:b/>
          <w:bCs/>
          <w:szCs w:val="24"/>
        </w:rPr>
        <w:instrText xml:space="preserve"> SEQ Table \* ARABIC </w:instrText>
      </w:r>
      <w:r w:rsidR="00577567" w:rsidRPr="003C5020">
        <w:rPr>
          <w:b/>
          <w:bCs/>
          <w:szCs w:val="24"/>
        </w:rPr>
        <w:fldChar w:fldCharType="separate"/>
      </w:r>
      <w:r w:rsidR="00622965">
        <w:rPr>
          <w:b/>
          <w:bCs/>
          <w:noProof/>
          <w:szCs w:val="24"/>
        </w:rPr>
        <w:t>1</w:t>
      </w:r>
      <w:r w:rsidR="00577567" w:rsidRPr="003C5020">
        <w:rPr>
          <w:b/>
          <w:bCs/>
          <w:szCs w:val="24"/>
        </w:rPr>
        <w:fldChar w:fldCharType="end"/>
      </w:r>
      <w:r w:rsidRPr="003C5020">
        <w:rPr>
          <w:b/>
          <w:bCs/>
          <w:szCs w:val="24"/>
        </w:rPr>
        <w:t xml:space="preserve"> –   T-BC output phase error history using scheme (a) (rejection of SyncE/SDH transient)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8"/>
      </w:tblGrid>
      <w:tr w:rsidR="00935858" w:rsidRPr="003C5020" w:rsidTr="00935858">
        <w:tc>
          <w:tcPr>
            <w:tcW w:w="4927" w:type="dxa"/>
          </w:tcPr>
          <w:p w:rsidR="00935858" w:rsidRPr="003C5020" w:rsidRDefault="00935858" w:rsidP="00935858">
            <w:pPr>
              <w:keepNext/>
              <w:keepLines/>
              <w:jc w:val="center"/>
            </w:pPr>
            <w:r w:rsidRPr="003C5020">
              <w:t xml:space="preserve">Time </w:t>
            </w:r>
            <w:r w:rsidRPr="003C5020">
              <w:rPr>
                <w:i/>
              </w:rPr>
              <w:t>S</w:t>
            </w:r>
            <w:r w:rsidRPr="003C5020">
              <w:t xml:space="preserve"> after start of SyncE/SDH rearrangement (s)</w:t>
            </w:r>
          </w:p>
        </w:tc>
        <w:tc>
          <w:tcPr>
            <w:tcW w:w="4928" w:type="dxa"/>
          </w:tcPr>
          <w:p w:rsidR="00935858" w:rsidRPr="003C5020" w:rsidRDefault="00935858" w:rsidP="00935858">
            <w:pPr>
              <w:keepNext/>
              <w:keepLines/>
              <w:jc w:val="center"/>
            </w:pPr>
            <w:r w:rsidRPr="003C5020">
              <w:t xml:space="preserve">T-BC Output </w:t>
            </w:r>
            <w:r w:rsidR="00FA20BB" w:rsidRPr="00FA20BB">
              <w:t>Absolute</w:t>
            </w:r>
            <w:r w:rsidR="0005700D" w:rsidRPr="003C5020">
              <w:t xml:space="preserve"> </w:t>
            </w:r>
            <w:r w:rsidRPr="003C5020">
              <w:t>Phase Error (ns)</w:t>
            </w:r>
          </w:p>
        </w:tc>
      </w:tr>
      <w:tr w:rsidR="00935858" w:rsidRPr="003C5020" w:rsidTr="00935858">
        <w:tc>
          <w:tcPr>
            <w:tcW w:w="4927" w:type="dxa"/>
          </w:tcPr>
          <w:p w:rsidR="00935858" w:rsidRPr="003C5020" w:rsidRDefault="00935858" w:rsidP="00935858">
            <w:pPr>
              <w:keepNext/>
              <w:keepLines/>
              <w:jc w:val="center"/>
            </w:pPr>
            <w:r w:rsidRPr="003C5020">
              <w:t xml:space="preserve">0 ≤ </w:t>
            </w:r>
            <w:r w:rsidRPr="003C5020">
              <w:rPr>
                <w:i/>
              </w:rPr>
              <w:t>S</w:t>
            </w:r>
            <w:r w:rsidRPr="003C5020">
              <w:t xml:space="preserve"> &lt; 0.016</w:t>
            </w:r>
          </w:p>
        </w:tc>
        <w:tc>
          <w:tcPr>
            <w:tcW w:w="4928" w:type="dxa"/>
          </w:tcPr>
          <w:p w:rsidR="00935858" w:rsidRPr="003C5020" w:rsidRDefault="00935858" w:rsidP="00935858">
            <w:pPr>
              <w:keepNext/>
              <w:keepLines/>
              <w:jc w:val="center"/>
              <w:rPr>
                <w:i/>
              </w:rPr>
            </w:pPr>
            <w:r>
              <w:t>50</w:t>
            </w:r>
            <w:r w:rsidRPr="003C5020">
              <w:t xml:space="preserve"> + 7500</w:t>
            </w:r>
            <w:r w:rsidRPr="003C5020">
              <w:rPr>
                <w:i/>
              </w:rPr>
              <w:t>S</w:t>
            </w:r>
          </w:p>
        </w:tc>
      </w:tr>
      <w:tr w:rsidR="00935858" w:rsidRPr="003C5020" w:rsidTr="00935858">
        <w:tc>
          <w:tcPr>
            <w:tcW w:w="4927" w:type="dxa"/>
          </w:tcPr>
          <w:p w:rsidR="00935858" w:rsidRPr="003C5020" w:rsidRDefault="00935858" w:rsidP="00935858">
            <w:pPr>
              <w:keepNext/>
              <w:keepLines/>
              <w:jc w:val="center"/>
            </w:pPr>
            <w:r w:rsidRPr="003C5020">
              <w:t xml:space="preserve">0.016 ≤ </w:t>
            </w:r>
            <w:r w:rsidRPr="003C5020">
              <w:rPr>
                <w:i/>
              </w:rPr>
              <w:t>S</w:t>
            </w:r>
            <w:r w:rsidRPr="003C5020">
              <w:t xml:space="preserve"> &lt; 0.5</w:t>
            </w:r>
          </w:p>
        </w:tc>
        <w:tc>
          <w:tcPr>
            <w:tcW w:w="4928" w:type="dxa"/>
          </w:tcPr>
          <w:p w:rsidR="00935858" w:rsidRPr="003C5020" w:rsidRDefault="00935858" w:rsidP="00935858">
            <w:pPr>
              <w:keepNext/>
              <w:keepLines/>
              <w:jc w:val="center"/>
            </w:pPr>
            <w:r>
              <w:t>170</w:t>
            </w:r>
            <w:r w:rsidRPr="003C5020">
              <w:t xml:space="preserve"> + 50(</w:t>
            </w:r>
            <w:r w:rsidRPr="003C5020">
              <w:rPr>
                <w:i/>
              </w:rPr>
              <w:t>S</w:t>
            </w:r>
            <w:r w:rsidRPr="003C5020">
              <w:t xml:space="preserve"> – 0.016)</w:t>
            </w:r>
          </w:p>
        </w:tc>
      </w:tr>
      <w:tr w:rsidR="00935858" w:rsidRPr="003C5020" w:rsidTr="00935858">
        <w:tc>
          <w:tcPr>
            <w:tcW w:w="4927" w:type="dxa"/>
          </w:tcPr>
          <w:p w:rsidR="00935858" w:rsidRPr="003C5020" w:rsidRDefault="00935858" w:rsidP="00935858">
            <w:pPr>
              <w:keepNext/>
              <w:keepLines/>
              <w:jc w:val="center"/>
            </w:pPr>
            <w:r w:rsidRPr="003C5020">
              <w:t xml:space="preserve">0.5 ≤ </w:t>
            </w:r>
            <w:r w:rsidRPr="003C5020">
              <w:rPr>
                <w:i/>
              </w:rPr>
              <w:t>S</w:t>
            </w:r>
            <w:r w:rsidRPr="003C5020">
              <w:t xml:space="preserve"> &lt; 2.</w:t>
            </w:r>
            <w:r>
              <w:t>4</w:t>
            </w:r>
          </w:p>
        </w:tc>
        <w:tc>
          <w:tcPr>
            <w:tcW w:w="4928" w:type="dxa"/>
          </w:tcPr>
          <w:p w:rsidR="00935858" w:rsidRPr="003C5020" w:rsidRDefault="00935858" w:rsidP="00935858">
            <w:pPr>
              <w:keepNext/>
              <w:keepLines/>
              <w:jc w:val="center"/>
            </w:pPr>
            <w:r w:rsidRPr="003C5020">
              <w:t>2</w:t>
            </w:r>
            <w:r>
              <w:t>2</w:t>
            </w:r>
            <w:r w:rsidRPr="003C5020">
              <w:t>4.2 + 50(</w:t>
            </w:r>
            <w:r w:rsidRPr="003C5020">
              <w:rPr>
                <w:i/>
              </w:rPr>
              <w:t>S</w:t>
            </w:r>
            <w:r w:rsidRPr="003C5020">
              <w:t xml:space="preserve"> – 0.5)</w:t>
            </w:r>
          </w:p>
        </w:tc>
      </w:tr>
      <w:tr w:rsidR="00935858" w:rsidRPr="003C5020" w:rsidTr="00935858">
        <w:tc>
          <w:tcPr>
            <w:tcW w:w="4927" w:type="dxa"/>
          </w:tcPr>
          <w:p w:rsidR="00935858" w:rsidRPr="003C5020" w:rsidRDefault="00935858" w:rsidP="00935858">
            <w:pPr>
              <w:jc w:val="center"/>
            </w:pPr>
            <w:r w:rsidRPr="003C5020">
              <w:t>2.</w:t>
            </w:r>
            <w:r>
              <w:t>4</w:t>
            </w:r>
            <w:r w:rsidRPr="003C5020">
              <w:t xml:space="preserve"> ≤ </w:t>
            </w:r>
            <w:r w:rsidRPr="003C5020">
              <w:rPr>
                <w:i/>
              </w:rPr>
              <w:t>S</w:t>
            </w:r>
            <w:r w:rsidRPr="003C5020">
              <w:t xml:space="preserve"> &lt; </w:t>
            </w:r>
            <w:r>
              <w:t>15.164</w:t>
            </w:r>
          </w:p>
        </w:tc>
        <w:tc>
          <w:tcPr>
            <w:tcW w:w="4928" w:type="dxa"/>
          </w:tcPr>
          <w:p w:rsidR="00935858" w:rsidRPr="003C5020" w:rsidRDefault="00935858" w:rsidP="00935858">
            <w:pPr>
              <w:jc w:val="center"/>
              <w:rPr>
                <w:vertAlign w:val="superscript"/>
              </w:rPr>
            </w:pPr>
            <w:r>
              <w:t>50</w:t>
            </w:r>
            <w:r w:rsidRPr="003C5020">
              <w:t xml:space="preserve"> + 2</w:t>
            </w:r>
            <w:r>
              <w:t>6</w:t>
            </w:r>
            <w:r w:rsidRPr="003C5020">
              <w:t>9.2</w:t>
            </w:r>
            <w:r w:rsidRPr="003C5020">
              <w:rPr>
                <w:i/>
              </w:rPr>
              <w:t>e</w:t>
            </w:r>
            <w:r w:rsidRPr="003C5020">
              <w:rPr>
                <w:vertAlign w:val="superscript"/>
              </w:rPr>
              <w:t xml:space="preserve"> –2π(0.05)(</w:t>
            </w:r>
            <w:r w:rsidRPr="003C5020">
              <w:rPr>
                <w:i/>
                <w:vertAlign w:val="superscript"/>
              </w:rPr>
              <w:t>S</w:t>
            </w:r>
            <w:r w:rsidRPr="003C5020">
              <w:rPr>
                <w:vertAlign w:val="superscript"/>
              </w:rPr>
              <w:t xml:space="preserve"> – 2.</w:t>
            </w:r>
            <w:r>
              <w:rPr>
                <w:vertAlign w:val="superscript"/>
              </w:rPr>
              <w:t>4</w:t>
            </w:r>
            <w:r w:rsidRPr="003C5020">
              <w:rPr>
                <w:vertAlign w:val="superscript"/>
              </w:rPr>
              <w:t>)</w:t>
            </w:r>
          </w:p>
        </w:tc>
      </w:tr>
      <w:tr w:rsidR="00935858" w:rsidRPr="003C5020" w:rsidTr="00935858">
        <w:tc>
          <w:tcPr>
            <w:tcW w:w="4927" w:type="dxa"/>
          </w:tcPr>
          <w:p w:rsidR="00935858" w:rsidRPr="003C5020" w:rsidRDefault="00935858" w:rsidP="00935858">
            <w:pPr>
              <w:jc w:val="center"/>
            </w:pPr>
            <w:r>
              <w:t>15.164</w:t>
            </w:r>
            <w:r w:rsidRPr="003C5020">
              <w:t xml:space="preserve"> ≤ </w:t>
            </w:r>
            <w:r w:rsidRPr="003C5020">
              <w:rPr>
                <w:i/>
              </w:rPr>
              <w:t>S</w:t>
            </w:r>
            <w:r w:rsidRPr="003C5020">
              <w:t xml:space="preserve"> ≤  </w:t>
            </w:r>
            <w:r>
              <w:t>25.448</w:t>
            </w:r>
          </w:p>
        </w:tc>
        <w:tc>
          <w:tcPr>
            <w:tcW w:w="4928" w:type="dxa"/>
          </w:tcPr>
          <w:p w:rsidR="00935858" w:rsidRPr="003C5020" w:rsidRDefault="00935858" w:rsidP="00935858">
            <w:pPr>
              <w:jc w:val="center"/>
            </w:pPr>
            <w:r>
              <w:t>110</w:t>
            </w:r>
            <w:r w:rsidRPr="003C5020">
              <w:t xml:space="preserve"> + </w:t>
            </w:r>
            <w:r>
              <w:t>269.2</w:t>
            </w:r>
            <w:r w:rsidRPr="003C5020">
              <w:rPr>
                <w:i/>
              </w:rPr>
              <w:t xml:space="preserve"> e</w:t>
            </w:r>
            <w:r w:rsidRPr="003C5020">
              <w:rPr>
                <w:vertAlign w:val="superscript"/>
              </w:rPr>
              <w:t xml:space="preserve"> –2π(0.05)(</w:t>
            </w:r>
            <w:r w:rsidRPr="003C5020">
              <w:rPr>
                <w:i/>
                <w:vertAlign w:val="superscript"/>
              </w:rPr>
              <w:t>S</w:t>
            </w:r>
            <w:r w:rsidRPr="003C5020">
              <w:rPr>
                <w:vertAlign w:val="superscript"/>
              </w:rPr>
              <w:t xml:space="preserve"> – </w:t>
            </w:r>
            <w:r>
              <w:rPr>
                <w:vertAlign w:val="superscript"/>
              </w:rPr>
              <w:t>2.4</w:t>
            </w:r>
            <w:r w:rsidRPr="003C5020">
              <w:rPr>
                <w:vertAlign w:val="superscript"/>
              </w:rPr>
              <w:t>)</w:t>
            </w:r>
          </w:p>
        </w:tc>
      </w:tr>
      <w:tr w:rsidR="00935858" w:rsidRPr="003C5020" w:rsidTr="00935858">
        <w:tc>
          <w:tcPr>
            <w:tcW w:w="4927" w:type="dxa"/>
          </w:tcPr>
          <w:p w:rsidR="00935858" w:rsidRPr="003C5020" w:rsidRDefault="00935858" w:rsidP="00935858">
            <w:pPr>
              <w:jc w:val="center"/>
            </w:pPr>
            <w:r>
              <w:t xml:space="preserve">25.448 </w:t>
            </w:r>
            <w:r w:rsidRPr="003C5020">
              <w:t xml:space="preserve">≤ </w:t>
            </w:r>
            <w:r w:rsidRPr="003C5020">
              <w:rPr>
                <w:i/>
              </w:rPr>
              <w:t>S</w:t>
            </w:r>
            <w:r w:rsidRPr="003C5020">
              <w:t xml:space="preserve"> ≤</w:t>
            </w:r>
            <w:r>
              <w:t xml:space="preserve"> 50</w:t>
            </w:r>
          </w:p>
        </w:tc>
        <w:tc>
          <w:tcPr>
            <w:tcW w:w="4928" w:type="dxa"/>
          </w:tcPr>
          <w:p w:rsidR="00935858" w:rsidRPr="003C5020" w:rsidRDefault="00935858" w:rsidP="00935858">
            <w:pPr>
              <w:jc w:val="center"/>
            </w:pPr>
            <w:r>
              <w:t>50</w:t>
            </w:r>
            <w:r w:rsidRPr="003C5020">
              <w:t xml:space="preserve"> + 60</w:t>
            </w:r>
            <w:r>
              <w:t>.193</w:t>
            </w:r>
            <w:r w:rsidRPr="003C5020">
              <w:rPr>
                <w:i/>
              </w:rPr>
              <w:t xml:space="preserve"> e</w:t>
            </w:r>
            <w:r w:rsidRPr="003C5020">
              <w:rPr>
                <w:vertAlign w:val="superscript"/>
              </w:rPr>
              <w:t xml:space="preserve"> –2π(0.05)(</w:t>
            </w:r>
            <w:r w:rsidRPr="003C5020">
              <w:rPr>
                <w:i/>
                <w:vertAlign w:val="superscript"/>
              </w:rPr>
              <w:t>S</w:t>
            </w:r>
            <w:r w:rsidRPr="003C5020">
              <w:rPr>
                <w:vertAlign w:val="superscript"/>
              </w:rPr>
              <w:t xml:space="preserve"> – 25</w:t>
            </w:r>
            <w:r>
              <w:rPr>
                <w:vertAlign w:val="superscript"/>
              </w:rPr>
              <w:t>.448</w:t>
            </w:r>
            <w:r w:rsidRPr="003C5020">
              <w:rPr>
                <w:vertAlign w:val="superscript"/>
              </w:rPr>
              <w:t>)</w:t>
            </w:r>
          </w:p>
        </w:tc>
      </w:tr>
    </w:tbl>
    <w:p w:rsidR="00935858" w:rsidRPr="003C5020" w:rsidRDefault="00935858" w:rsidP="00935858">
      <w:pPr>
        <w:rPr>
          <w:b/>
          <w:bCs/>
          <w:sz w:val="20"/>
        </w:rPr>
      </w:pPr>
    </w:p>
    <w:p w:rsidR="00935858" w:rsidRPr="003C5020" w:rsidRDefault="00935858" w:rsidP="00935858">
      <w:pPr>
        <w:spacing w:after="120"/>
        <w:jc w:val="center"/>
        <w:rPr>
          <w:b/>
          <w:bCs/>
          <w:szCs w:val="24"/>
        </w:rPr>
      </w:pPr>
      <w:r w:rsidRPr="003C5020">
        <w:rPr>
          <w:b/>
          <w:bCs/>
          <w:szCs w:val="24"/>
        </w:rPr>
        <w:t>Table II.</w:t>
      </w:r>
      <w:r w:rsidR="00577567" w:rsidRPr="003C5020">
        <w:rPr>
          <w:b/>
          <w:bCs/>
          <w:szCs w:val="24"/>
        </w:rPr>
        <w:fldChar w:fldCharType="begin"/>
      </w:r>
      <w:r w:rsidRPr="003C5020">
        <w:rPr>
          <w:b/>
          <w:bCs/>
          <w:szCs w:val="24"/>
        </w:rPr>
        <w:instrText xml:space="preserve"> SEQ Table \* ARABIC </w:instrText>
      </w:r>
      <w:r w:rsidR="00577567" w:rsidRPr="003C5020">
        <w:rPr>
          <w:b/>
          <w:bCs/>
          <w:szCs w:val="24"/>
        </w:rPr>
        <w:fldChar w:fldCharType="separate"/>
      </w:r>
      <w:r w:rsidR="00622965">
        <w:rPr>
          <w:b/>
          <w:bCs/>
          <w:noProof/>
          <w:szCs w:val="24"/>
        </w:rPr>
        <w:t>2</w:t>
      </w:r>
      <w:r w:rsidR="00577567" w:rsidRPr="003C5020">
        <w:rPr>
          <w:b/>
          <w:bCs/>
          <w:szCs w:val="24"/>
        </w:rPr>
        <w:fldChar w:fldCharType="end"/>
      </w:r>
      <w:r w:rsidRPr="003C5020">
        <w:rPr>
          <w:b/>
          <w:bCs/>
          <w:szCs w:val="24"/>
        </w:rPr>
        <w:t xml:space="preserve"> – T-BC output phase error history using scheme (b) (turning off T-BC filter during SyncE/SDH transient)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8"/>
      </w:tblGrid>
      <w:tr w:rsidR="00935858" w:rsidRPr="003C5020" w:rsidTr="00935858">
        <w:tc>
          <w:tcPr>
            <w:tcW w:w="4927" w:type="dxa"/>
          </w:tcPr>
          <w:p w:rsidR="00935858" w:rsidRPr="003C5020" w:rsidRDefault="00935858" w:rsidP="00935858">
            <w:pPr>
              <w:jc w:val="center"/>
            </w:pPr>
            <w:r w:rsidRPr="003C5020">
              <w:lastRenderedPageBreak/>
              <w:t xml:space="preserve">Time </w:t>
            </w:r>
            <w:r w:rsidRPr="003C5020">
              <w:rPr>
                <w:i/>
              </w:rPr>
              <w:t>S</w:t>
            </w:r>
            <w:r w:rsidRPr="003C5020">
              <w:t xml:space="preserve"> after start of SyncE/SDH rearrangement (s)</w:t>
            </w:r>
          </w:p>
        </w:tc>
        <w:tc>
          <w:tcPr>
            <w:tcW w:w="4928" w:type="dxa"/>
          </w:tcPr>
          <w:p w:rsidR="00935858" w:rsidRPr="003C5020" w:rsidRDefault="00935858" w:rsidP="00935858">
            <w:pPr>
              <w:jc w:val="center"/>
            </w:pPr>
            <w:r w:rsidRPr="003C5020">
              <w:t xml:space="preserve">T-BC Output </w:t>
            </w:r>
            <w:r w:rsidR="00FA20BB" w:rsidRPr="00FA20BB">
              <w:t>Absolute</w:t>
            </w:r>
            <w:r w:rsidR="0005700D" w:rsidRPr="003C5020">
              <w:t xml:space="preserve"> </w:t>
            </w:r>
            <w:r w:rsidRPr="003C5020">
              <w:t>Phase Error (ns)</w:t>
            </w:r>
          </w:p>
        </w:tc>
      </w:tr>
      <w:tr w:rsidR="00935858" w:rsidRPr="003C5020" w:rsidTr="00935858">
        <w:tc>
          <w:tcPr>
            <w:tcW w:w="4927" w:type="dxa"/>
          </w:tcPr>
          <w:p w:rsidR="00935858" w:rsidRPr="003C5020" w:rsidRDefault="00935858" w:rsidP="00935858">
            <w:pPr>
              <w:jc w:val="center"/>
            </w:pPr>
            <w:r w:rsidRPr="003C5020">
              <w:t xml:space="preserve">0 ≤ </w:t>
            </w:r>
            <w:r w:rsidRPr="003C5020">
              <w:rPr>
                <w:i/>
              </w:rPr>
              <w:t>S</w:t>
            </w:r>
            <w:r w:rsidRPr="003C5020">
              <w:t xml:space="preserve"> &lt; 0.016</w:t>
            </w:r>
          </w:p>
        </w:tc>
        <w:tc>
          <w:tcPr>
            <w:tcW w:w="4928" w:type="dxa"/>
          </w:tcPr>
          <w:p w:rsidR="00935858" w:rsidRPr="003C5020" w:rsidRDefault="00935858" w:rsidP="00935858">
            <w:pPr>
              <w:jc w:val="center"/>
              <w:rPr>
                <w:i/>
              </w:rPr>
            </w:pPr>
            <w:r>
              <w:t>5</w:t>
            </w:r>
            <w:r w:rsidRPr="003C5020">
              <w:t>0 + 7500</w:t>
            </w:r>
            <w:r w:rsidRPr="003C5020">
              <w:rPr>
                <w:i/>
              </w:rPr>
              <w:t>S</w:t>
            </w:r>
          </w:p>
        </w:tc>
      </w:tr>
      <w:tr w:rsidR="00935858" w:rsidRPr="003C5020" w:rsidTr="00935858">
        <w:tc>
          <w:tcPr>
            <w:tcW w:w="4927" w:type="dxa"/>
          </w:tcPr>
          <w:p w:rsidR="00935858" w:rsidRPr="003C5020" w:rsidRDefault="00935858" w:rsidP="00935858">
            <w:pPr>
              <w:jc w:val="center"/>
            </w:pPr>
            <w:r w:rsidRPr="003C5020">
              <w:t xml:space="preserve">0.016 ≤ </w:t>
            </w:r>
            <w:r w:rsidRPr="003C5020">
              <w:rPr>
                <w:i/>
              </w:rPr>
              <w:t>S</w:t>
            </w:r>
            <w:r w:rsidRPr="003C5020">
              <w:t xml:space="preserve"> &lt; 2.</w:t>
            </w:r>
            <w:r>
              <w:t>5</w:t>
            </w:r>
            <w:r w:rsidRPr="003C5020">
              <w:t>25</w:t>
            </w:r>
          </w:p>
        </w:tc>
        <w:tc>
          <w:tcPr>
            <w:tcW w:w="4928" w:type="dxa"/>
          </w:tcPr>
          <w:p w:rsidR="00935858" w:rsidRPr="003C5020" w:rsidRDefault="00935858" w:rsidP="00935858">
            <w:pPr>
              <w:jc w:val="center"/>
            </w:pPr>
            <w:r w:rsidRPr="003C5020">
              <w:t>1</w:t>
            </w:r>
            <w:r>
              <w:t>7</w:t>
            </w:r>
            <w:r w:rsidRPr="003C5020">
              <w:t>0 + 50(</w:t>
            </w:r>
            <w:r w:rsidRPr="003C5020">
              <w:rPr>
                <w:i/>
              </w:rPr>
              <w:t>S</w:t>
            </w:r>
            <w:r w:rsidRPr="003C5020">
              <w:t xml:space="preserve"> – 0.016)</w:t>
            </w:r>
          </w:p>
        </w:tc>
      </w:tr>
      <w:tr w:rsidR="00935858" w:rsidRPr="003C5020" w:rsidTr="00935858">
        <w:tc>
          <w:tcPr>
            <w:tcW w:w="4927" w:type="dxa"/>
          </w:tcPr>
          <w:p w:rsidR="00935858" w:rsidRPr="003C5020" w:rsidRDefault="00935858" w:rsidP="00935858">
            <w:pPr>
              <w:jc w:val="center"/>
            </w:pPr>
            <w:r w:rsidRPr="003C5020">
              <w:t>2.</w:t>
            </w:r>
            <w:r>
              <w:t>5</w:t>
            </w:r>
            <w:r w:rsidRPr="003C5020">
              <w:t xml:space="preserve">25 ≤ </w:t>
            </w:r>
            <w:r w:rsidRPr="003C5020">
              <w:rPr>
                <w:i/>
              </w:rPr>
              <w:t>S</w:t>
            </w:r>
            <w:r w:rsidRPr="003C5020">
              <w:t xml:space="preserve"> &lt; 2.</w:t>
            </w:r>
            <w:r>
              <w:t>6</w:t>
            </w:r>
            <w:r w:rsidRPr="003C5020">
              <w:t>5</w:t>
            </w:r>
          </w:p>
        </w:tc>
        <w:tc>
          <w:tcPr>
            <w:tcW w:w="4928" w:type="dxa"/>
          </w:tcPr>
          <w:p w:rsidR="00935858" w:rsidRPr="003C5020" w:rsidRDefault="00935858" w:rsidP="00935858">
            <w:pPr>
              <w:jc w:val="center"/>
            </w:pPr>
            <w:r>
              <w:t>59.375</w:t>
            </w:r>
          </w:p>
        </w:tc>
      </w:tr>
      <w:tr w:rsidR="00935858" w:rsidRPr="003C5020" w:rsidTr="00935858">
        <w:tc>
          <w:tcPr>
            <w:tcW w:w="4927" w:type="dxa"/>
          </w:tcPr>
          <w:p w:rsidR="00935858" w:rsidRPr="003C5020" w:rsidRDefault="00935858" w:rsidP="00935858">
            <w:pPr>
              <w:jc w:val="center"/>
            </w:pPr>
            <w:r w:rsidRPr="003C5020">
              <w:t>2.</w:t>
            </w:r>
            <w:r>
              <w:t>6</w:t>
            </w:r>
            <w:r w:rsidRPr="003C5020">
              <w:t xml:space="preserve">5 ≤ </w:t>
            </w:r>
            <w:r w:rsidRPr="003C5020">
              <w:rPr>
                <w:i/>
              </w:rPr>
              <w:t>S</w:t>
            </w:r>
            <w:r w:rsidRPr="003C5020">
              <w:t xml:space="preserve"> &lt; </w:t>
            </w:r>
            <w:r>
              <w:t>14.984</w:t>
            </w:r>
          </w:p>
        </w:tc>
        <w:tc>
          <w:tcPr>
            <w:tcW w:w="4928" w:type="dxa"/>
          </w:tcPr>
          <w:p w:rsidR="00935858" w:rsidRPr="003C5020" w:rsidRDefault="00935858" w:rsidP="00935858">
            <w:pPr>
              <w:jc w:val="center"/>
            </w:pPr>
            <w:r>
              <w:t>56.25</w:t>
            </w:r>
          </w:p>
        </w:tc>
      </w:tr>
      <w:tr w:rsidR="00935858" w:rsidRPr="003C5020" w:rsidTr="00935858">
        <w:tc>
          <w:tcPr>
            <w:tcW w:w="4927" w:type="dxa"/>
          </w:tcPr>
          <w:p w:rsidR="00935858" w:rsidRPr="003C5020" w:rsidRDefault="00935858" w:rsidP="00935858">
            <w:pPr>
              <w:jc w:val="center"/>
            </w:pPr>
            <w:r>
              <w:t>14.984</w:t>
            </w:r>
            <w:r w:rsidRPr="003C5020">
              <w:t xml:space="preserve"> ≤ </w:t>
            </w:r>
            <w:r w:rsidRPr="003C5020">
              <w:rPr>
                <w:i/>
              </w:rPr>
              <w:t>S</w:t>
            </w:r>
            <w:r w:rsidRPr="003C5020">
              <w:t xml:space="preserve"> &lt; 15.</w:t>
            </w:r>
            <w:r>
              <w:t>0</w:t>
            </w:r>
          </w:p>
        </w:tc>
        <w:tc>
          <w:tcPr>
            <w:tcW w:w="4928" w:type="dxa"/>
          </w:tcPr>
          <w:p w:rsidR="00935858" w:rsidRPr="003C5020" w:rsidRDefault="00935858" w:rsidP="00935858">
            <w:pPr>
              <w:jc w:val="center"/>
              <w:rPr>
                <w:vertAlign w:val="superscript"/>
              </w:rPr>
            </w:pPr>
            <w:r>
              <w:t>56.25</w:t>
            </w:r>
            <w:r w:rsidRPr="003C5020">
              <w:t xml:space="preserve"> + 7500(</w:t>
            </w:r>
            <w:r w:rsidRPr="003C5020">
              <w:rPr>
                <w:i/>
              </w:rPr>
              <w:t>S</w:t>
            </w:r>
            <w:r w:rsidRPr="003C5020">
              <w:t xml:space="preserve"> – 1</w:t>
            </w:r>
            <w:r>
              <w:t>4.984</w:t>
            </w:r>
            <w:r w:rsidRPr="003C5020">
              <w:t>)</w:t>
            </w:r>
          </w:p>
        </w:tc>
      </w:tr>
      <w:tr w:rsidR="00935858" w:rsidRPr="003C5020" w:rsidTr="00935858">
        <w:tc>
          <w:tcPr>
            <w:tcW w:w="4927" w:type="dxa"/>
          </w:tcPr>
          <w:p w:rsidR="00935858" w:rsidRPr="003C5020" w:rsidRDefault="00935858" w:rsidP="00935858">
            <w:pPr>
              <w:jc w:val="center"/>
            </w:pPr>
            <w:r w:rsidRPr="003C5020">
              <w:t xml:space="preserve">15.0 ≤ </w:t>
            </w:r>
            <w:r w:rsidRPr="003C5020">
              <w:rPr>
                <w:i/>
              </w:rPr>
              <w:t>S</w:t>
            </w:r>
            <w:r w:rsidRPr="003C5020">
              <w:t xml:space="preserve"> &lt; 15.1</w:t>
            </w:r>
            <w:r>
              <w:t>25</w:t>
            </w:r>
          </w:p>
        </w:tc>
        <w:tc>
          <w:tcPr>
            <w:tcW w:w="4928" w:type="dxa"/>
          </w:tcPr>
          <w:p w:rsidR="00935858" w:rsidRPr="003C5020" w:rsidRDefault="00935858" w:rsidP="00935858">
            <w:pPr>
              <w:jc w:val="center"/>
            </w:pPr>
            <w:r>
              <w:t>176.25</w:t>
            </w:r>
          </w:p>
        </w:tc>
      </w:tr>
      <w:tr w:rsidR="00935858" w:rsidRPr="003C5020" w:rsidTr="00935858">
        <w:tc>
          <w:tcPr>
            <w:tcW w:w="4927" w:type="dxa"/>
          </w:tcPr>
          <w:p w:rsidR="00935858" w:rsidRPr="003C5020" w:rsidRDefault="00935858" w:rsidP="00935858">
            <w:pPr>
              <w:jc w:val="center"/>
            </w:pPr>
            <w:r w:rsidRPr="003C5020">
              <w:t>15.1</w:t>
            </w:r>
            <w:r>
              <w:rPr>
                <w:rFonts w:hint="eastAsia"/>
                <w:lang w:eastAsia="zh-CN"/>
              </w:rPr>
              <w:t>25</w:t>
            </w:r>
            <w:r w:rsidRPr="003C5020">
              <w:t xml:space="preserve"> ≤ </w:t>
            </w:r>
            <w:r w:rsidRPr="003C5020">
              <w:rPr>
                <w:i/>
              </w:rPr>
              <w:t>S</w:t>
            </w:r>
            <w:r w:rsidRPr="003C5020">
              <w:t xml:space="preserve"> &lt; 15.2</w:t>
            </w:r>
            <w:r>
              <w:t>5</w:t>
            </w:r>
          </w:p>
        </w:tc>
        <w:tc>
          <w:tcPr>
            <w:tcW w:w="4928" w:type="dxa"/>
          </w:tcPr>
          <w:p w:rsidR="00935858" w:rsidRPr="003C5020" w:rsidRDefault="00935858" w:rsidP="00935858">
            <w:pPr>
              <w:jc w:val="center"/>
            </w:pPr>
            <w:r>
              <w:t>116.25</w:t>
            </w:r>
          </w:p>
        </w:tc>
      </w:tr>
      <w:tr w:rsidR="00935858" w:rsidRPr="003C5020" w:rsidTr="00935858">
        <w:tc>
          <w:tcPr>
            <w:tcW w:w="4927" w:type="dxa"/>
          </w:tcPr>
          <w:p w:rsidR="00935858" w:rsidRPr="003C5020" w:rsidRDefault="00935858" w:rsidP="00935858">
            <w:pPr>
              <w:jc w:val="center"/>
            </w:pPr>
            <w:r w:rsidRPr="003C5020">
              <w:t>15.2</w:t>
            </w:r>
            <w:r>
              <w:t>5</w:t>
            </w:r>
            <w:r w:rsidRPr="003C5020">
              <w:t xml:space="preserve"> ≤ </w:t>
            </w:r>
            <w:r w:rsidRPr="003C5020">
              <w:rPr>
                <w:i/>
              </w:rPr>
              <w:t>S</w:t>
            </w:r>
            <w:r w:rsidRPr="003C5020">
              <w:t xml:space="preserve"> ≤  50</w:t>
            </w:r>
          </w:p>
        </w:tc>
        <w:tc>
          <w:tcPr>
            <w:tcW w:w="4928" w:type="dxa"/>
          </w:tcPr>
          <w:p w:rsidR="00935858" w:rsidRPr="003C5020" w:rsidRDefault="00935858" w:rsidP="00935858">
            <w:pPr>
              <w:jc w:val="center"/>
            </w:pPr>
            <w:r>
              <w:t>5</w:t>
            </w:r>
            <w:r w:rsidRPr="003C5020">
              <w:t>0</w:t>
            </w:r>
          </w:p>
        </w:tc>
      </w:tr>
    </w:tbl>
    <w:p w:rsidR="00935858" w:rsidRDefault="00935858" w:rsidP="00935858">
      <w:pPr>
        <w:rPr>
          <w:b/>
        </w:rPr>
      </w:pPr>
    </w:p>
    <w:p w:rsidR="00935858" w:rsidRDefault="00935858" w:rsidP="00935858">
      <w:r w:rsidRPr="00EB266B">
        <w:t>Figure II.</w:t>
      </w:r>
      <w:r w:rsidR="0050019A">
        <w:t>1</w:t>
      </w:r>
      <w:r w:rsidRPr="00EB266B">
        <w:t xml:space="preserve"> and Table II.2 </w:t>
      </w:r>
      <w:r>
        <w:t>show that the output transient for scheme (b) (turning off the T-BC filter during the transient) contains a very sharp, narrow peak between 14.984 s and 15.25 s, i.e., over a period of 0.266 s. This peak is due to the second phase jump of 120 ns beginning at 14.984 s and ending at 15 s.  In a test, the test set would have to begin and end the phase jump at exactly these times, otherwise the actual peak would occur at slightly different times and the equipment might fail. It would be desirable to allow some margin for the test set; this can be done by allowing the phase jump to begin as early as 14.5 s and end as late as 15.5 s (i.e., allow the phase jump to occur at any time during a 1 s interval).  If this is done, the mask for scheme (b) must be computed as the envelope of all possible output transients with the second phase jump occurring during this interval. The modified output mask for scheme (b) is shown in Figure II.</w:t>
      </w:r>
      <w:r w:rsidR="0050019A">
        <w:t>2</w:t>
      </w:r>
      <w:r>
        <w:t xml:space="preserve"> and Table II.3.</w:t>
      </w:r>
    </w:p>
    <w:p w:rsidR="00935858" w:rsidRDefault="00935858" w:rsidP="00935858"/>
    <w:p w:rsidR="00935858" w:rsidRDefault="00935858" w:rsidP="00935858"/>
    <w:p w:rsidR="0050019A" w:rsidRDefault="00450EFD" w:rsidP="00935858">
      <w:r>
        <w:rPr>
          <w:noProof/>
          <w:lang w:eastAsia="zh-CN"/>
        </w:rPr>
        <w:lastRenderedPageBreak/>
        <w:drawing>
          <wp:inline distT="0" distB="0" distL="0" distR="0">
            <wp:extent cx="5481320" cy="4789805"/>
            <wp:effectExtent l="1905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481320" cy="4789805"/>
                    </a:xfrm>
                    <a:prstGeom prst="rect">
                      <a:avLst/>
                    </a:prstGeom>
                    <a:noFill/>
                    <a:ln w="9525">
                      <a:noFill/>
                      <a:miter lim="800000"/>
                      <a:headEnd/>
                      <a:tailEnd/>
                    </a:ln>
                  </pic:spPr>
                </pic:pic>
              </a:graphicData>
            </a:graphic>
          </wp:inline>
        </w:drawing>
      </w:r>
    </w:p>
    <w:p w:rsidR="00935858" w:rsidRPr="003C5020" w:rsidRDefault="00935858" w:rsidP="00935858">
      <w:pPr>
        <w:ind w:left="810" w:hanging="810"/>
        <w:jc w:val="center"/>
        <w:rPr>
          <w:b/>
          <w:bCs/>
          <w:szCs w:val="24"/>
        </w:rPr>
      </w:pPr>
      <w:r w:rsidRPr="003C5020">
        <w:rPr>
          <w:b/>
          <w:bCs/>
          <w:szCs w:val="24"/>
        </w:rPr>
        <w:t>Figure II.</w:t>
      </w:r>
      <w:r w:rsidR="0050019A">
        <w:rPr>
          <w:b/>
          <w:bCs/>
          <w:szCs w:val="24"/>
        </w:rPr>
        <w:t>2</w:t>
      </w:r>
      <w:r w:rsidRPr="003C5020">
        <w:rPr>
          <w:b/>
          <w:bCs/>
          <w:szCs w:val="24"/>
        </w:rPr>
        <w:t xml:space="preserve"> –  T-BC output phase error histories for each of the two techniques, assuming SyncE/SDH transient starts at time zero</w:t>
      </w:r>
      <w:r>
        <w:rPr>
          <w:b/>
          <w:bCs/>
          <w:szCs w:val="24"/>
        </w:rPr>
        <w:t>, and allowing 1 s of margin for the time of second 120 ns phase jump for scheme (b)</w:t>
      </w:r>
      <w:r w:rsidRPr="003C5020">
        <w:rPr>
          <w:b/>
          <w:bCs/>
          <w:szCs w:val="24"/>
        </w:rPr>
        <w:t>.</w:t>
      </w:r>
    </w:p>
    <w:p w:rsidR="00935858" w:rsidRDefault="00935858" w:rsidP="00935858"/>
    <w:p w:rsidR="00935858" w:rsidRPr="00037172" w:rsidRDefault="00935858" w:rsidP="00935858">
      <w:pPr>
        <w:spacing w:after="120"/>
        <w:ind w:left="1260" w:hanging="1260"/>
        <w:rPr>
          <w:b/>
          <w:bCs/>
          <w:szCs w:val="24"/>
        </w:rPr>
      </w:pPr>
      <w:r w:rsidRPr="00037172">
        <w:rPr>
          <w:b/>
          <w:bCs/>
          <w:szCs w:val="24"/>
        </w:rPr>
        <w:t>Table II.3 – Modified</w:t>
      </w:r>
      <w:r>
        <w:rPr>
          <w:b/>
          <w:bCs/>
          <w:szCs w:val="24"/>
        </w:rPr>
        <w:t xml:space="preserve"> </w:t>
      </w:r>
      <w:r w:rsidRPr="00037172">
        <w:rPr>
          <w:b/>
          <w:bCs/>
          <w:szCs w:val="24"/>
        </w:rPr>
        <w:t>T-BC output phase error history using scheme (b) (turning off T-BC filter during SyncE/SDH transient), allowing 1 s of margin for time of second 120 ns phase jump.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8"/>
      </w:tblGrid>
      <w:tr w:rsidR="00935858" w:rsidRPr="003C5020" w:rsidTr="00935858">
        <w:tc>
          <w:tcPr>
            <w:tcW w:w="4927" w:type="dxa"/>
          </w:tcPr>
          <w:p w:rsidR="00935858" w:rsidRPr="003C5020" w:rsidRDefault="00935858" w:rsidP="00935858">
            <w:pPr>
              <w:jc w:val="center"/>
            </w:pPr>
            <w:r w:rsidRPr="003C5020">
              <w:t xml:space="preserve">Time </w:t>
            </w:r>
            <w:r w:rsidRPr="003C5020">
              <w:rPr>
                <w:i/>
              </w:rPr>
              <w:t>S</w:t>
            </w:r>
            <w:r w:rsidRPr="003C5020">
              <w:t xml:space="preserve"> after start of SyncE/SDH rearrangement (s)</w:t>
            </w:r>
          </w:p>
        </w:tc>
        <w:tc>
          <w:tcPr>
            <w:tcW w:w="4928" w:type="dxa"/>
          </w:tcPr>
          <w:p w:rsidR="00935858" w:rsidRPr="003C5020" w:rsidRDefault="00935858" w:rsidP="00935858">
            <w:pPr>
              <w:jc w:val="center"/>
            </w:pPr>
            <w:r w:rsidRPr="003C5020">
              <w:t xml:space="preserve">T-BC Output </w:t>
            </w:r>
            <w:r w:rsidR="00FA20BB" w:rsidRPr="00FA20BB">
              <w:t>Absolute</w:t>
            </w:r>
            <w:r w:rsidR="0005700D" w:rsidRPr="003C5020">
              <w:t xml:space="preserve"> </w:t>
            </w:r>
            <w:r w:rsidRPr="003C5020">
              <w:t>Phase Error (ns)</w:t>
            </w:r>
          </w:p>
        </w:tc>
      </w:tr>
      <w:tr w:rsidR="00935858" w:rsidRPr="003C5020" w:rsidTr="00935858">
        <w:tc>
          <w:tcPr>
            <w:tcW w:w="4927" w:type="dxa"/>
          </w:tcPr>
          <w:p w:rsidR="00935858" w:rsidRPr="003C5020" w:rsidRDefault="00935858" w:rsidP="00935858">
            <w:pPr>
              <w:jc w:val="center"/>
            </w:pPr>
            <w:r w:rsidRPr="003C5020">
              <w:t xml:space="preserve">0 ≤ </w:t>
            </w:r>
            <w:r w:rsidRPr="003C5020">
              <w:rPr>
                <w:i/>
              </w:rPr>
              <w:t>S</w:t>
            </w:r>
            <w:r w:rsidRPr="003C5020">
              <w:t xml:space="preserve"> &lt; 0.016</w:t>
            </w:r>
          </w:p>
        </w:tc>
        <w:tc>
          <w:tcPr>
            <w:tcW w:w="4928" w:type="dxa"/>
          </w:tcPr>
          <w:p w:rsidR="00935858" w:rsidRPr="003C5020" w:rsidRDefault="00935858" w:rsidP="00935858">
            <w:pPr>
              <w:jc w:val="center"/>
              <w:rPr>
                <w:i/>
              </w:rPr>
            </w:pPr>
            <w:r>
              <w:t>5</w:t>
            </w:r>
            <w:r w:rsidRPr="003C5020">
              <w:t>0 + 7500</w:t>
            </w:r>
            <w:r w:rsidRPr="003C5020">
              <w:rPr>
                <w:i/>
              </w:rPr>
              <w:t>S</w:t>
            </w:r>
          </w:p>
        </w:tc>
      </w:tr>
      <w:tr w:rsidR="00935858" w:rsidRPr="003C5020" w:rsidTr="00935858">
        <w:tc>
          <w:tcPr>
            <w:tcW w:w="4927" w:type="dxa"/>
          </w:tcPr>
          <w:p w:rsidR="00935858" w:rsidRPr="003C5020" w:rsidRDefault="00935858" w:rsidP="00935858">
            <w:pPr>
              <w:jc w:val="center"/>
            </w:pPr>
            <w:r w:rsidRPr="003C5020">
              <w:t xml:space="preserve">0.016 ≤ </w:t>
            </w:r>
            <w:r w:rsidRPr="003C5020">
              <w:rPr>
                <w:i/>
              </w:rPr>
              <w:t>S</w:t>
            </w:r>
            <w:r w:rsidRPr="003C5020">
              <w:t xml:space="preserve"> &lt; 2.</w:t>
            </w:r>
            <w:r>
              <w:t>5</w:t>
            </w:r>
            <w:r w:rsidRPr="003C5020">
              <w:t>25</w:t>
            </w:r>
          </w:p>
        </w:tc>
        <w:tc>
          <w:tcPr>
            <w:tcW w:w="4928" w:type="dxa"/>
          </w:tcPr>
          <w:p w:rsidR="00935858" w:rsidRPr="003C5020" w:rsidRDefault="00935858" w:rsidP="00935858">
            <w:pPr>
              <w:jc w:val="center"/>
            </w:pPr>
            <w:r w:rsidRPr="003C5020">
              <w:t>1</w:t>
            </w:r>
            <w:r>
              <w:t>7</w:t>
            </w:r>
            <w:r w:rsidRPr="003C5020">
              <w:t>0 + 50(</w:t>
            </w:r>
            <w:r w:rsidRPr="003C5020">
              <w:rPr>
                <w:i/>
              </w:rPr>
              <w:t>S</w:t>
            </w:r>
            <w:r w:rsidRPr="003C5020">
              <w:t xml:space="preserve"> – 0.016)</w:t>
            </w:r>
          </w:p>
        </w:tc>
      </w:tr>
      <w:tr w:rsidR="00935858" w:rsidRPr="003C5020" w:rsidTr="00935858">
        <w:tc>
          <w:tcPr>
            <w:tcW w:w="4927" w:type="dxa"/>
          </w:tcPr>
          <w:p w:rsidR="00935858" w:rsidRPr="003C5020" w:rsidRDefault="00935858" w:rsidP="00935858">
            <w:pPr>
              <w:jc w:val="center"/>
            </w:pPr>
            <w:r w:rsidRPr="003C5020">
              <w:t>2.</w:t>
            </w:r>
            <w:r>
              <w:t>5</w:t>
            </w:r>
            <w:r w:rsidRPr="003C5020">
              <w:t xml:space="preserve">25 ≤ </w:t>
            </w:r>
            <w:r w:rsidRPr="003C5020">
              <w:rPr>
                <w:i/>
              </w:rPr>
              <w:t>S</w:t>
            </w:r>
            <w:r w:rsidRPr="003C5020">
              <w:t xml:space="preserve"> &lt; 2.</w:t>
            </w:r>
            <w:r>
              <w:t>6</w:t>
            </w:r>
            <w:r w:rsidRPr="003C5020">
              <w:t>5</w:t>
            </w:r>
          </w:p>
        </w:tc>
        <w:tc>
          <w:tcPr>
            <w:tcW w:w="4928" w:type="dxa"/>
          </w:tcPr>
          <w:p w:rsidR="00935858" w:rsidRPr="003C5020" w:rsidRDefault="00935858" w:rsidP="00935858">
            <w:pPr>
              <w:jc w:val="center"/>
            </w:pPr>
            <w:r>
              <w:t>59.375</w:t>
            </w:r>
          </w:p>
        </w:tc>
      </w:tr>
      <w:tr w:rsidR="00935858" w:rsidRPr="003C5020" w:rsidTr="00935858">
        <w:tc>
          <w:tcPr>
            <w:tcW w:w="4927" w:type="dxa"/>
          </w:tcPr>
          <w:p w:rsidR="00935858" w:rsidRPr="003C5020" w:rsidRDefault="00935858" w:rsidP="00935858">
            <w:pPr>
              <w:jc w:val="center"/>
            </w:pPr>
            <w:r w:rsidRPr="003C5020">
              <w:t>2.</w:t>
            </w:r>
            <w:r>
              <w:t>6</w:t>
            </w:r>
            <w:r w:rsidRPr="003C5020">
              <w:t xml:space="preserve">5 ≤ </w:t>
            </w:r>
            <w:r w:rsidRPr="003C5020">
              <w:rPr>
                <w:i/>
              </w:rPr>
              <w:t>S</w:t>
            </w:r>
            <w:r w:rsidRPr="003C5020">
              <w:t xml:space="preserve"> &lt; </w:t>
            </w:r>
            <w:r>
              <w:t>14.5</w:t>
            </w:r>
          </w:p>
        </w:tc>
        <w:tc>
          <w:tcPr>
            <w:tcW w:w="4928" w:type="dxa"/>
          </w:tcPr>
          <w:p w:rsidR="00935858" w:rsidRPr="003C5020" w:rsidRDefault="00935858" w:rsidP="00935858">
            <w:pPr>
              <w:jc w:val="center"/>
            </w:pPr>
            <w:r>
              <w:t>56.25</w:t>
            </w:r>
          </w:p>
        </w:tc>
      </w:tr>
      <w:tr w:rsidR="00935858" w:rsidRPr="003C5020" w:rsidTr="00935858">
        <w:tc>
          <w:tcPr>
            <w:tcW w:w="4927" w:type="dxa"/>
          </w:tcPr>
          <w:p w:rsidR="00935858" w:rsidRPr="003C5020" w:rsidRDefault="00935858" w:rsidP="00935858">
            <w:pPr>
              <w:jc w:val="center"/>
            </w:pPr>
            <w:r>
              <w:t>14.5</w:t>
            </w:r>
            <w:r w:rsidRPr="003C5020">
              <w:t xml:space="preserve"> ≤ </w:t>
            </w:r>
            <w:r w:rsidRPr="003C5020">
              <w:rPr>
                <w:i/>
              </w:rPr>
              <w:t>S</w:t>
            </w:r>
            <w:r w:rsidRPr="003C5020">
              <w:t xml:space="preserve"> &lt; 1</w:t>
            </w:r>
            <w:r>
              <w:t>4.516</w:t>
            </w:r>
          </w:p>
        </w:tc>
        <w:tc>
          <w:tcPr>
            <w:tcW w:w="4928" w:type="dxa"/>
          </w:tcPr>
          <w:p w:rsidR="00935858" w:rsidRPr="003C5020" w:rsidRDefault="00935858" w:rsidP="00935858">
            <w:pPr>
              <w:jc w:val="center"/>
              <w:rPr>
                <w:vertAlign w:val="superscript"/>
              </w:rPr>
            </w:pPr>
            <w:r>
              <w:t>56.25</w:t>
            </w:r>
            <w:r w:rsidRPr="003C5020">
              <w:t xml:space="preserve"> + 7500(</w:t>
            </w:r>
            <w:r w:rsidRPr="003C5020">
              <w:rPr>
                <w:i/>
              </w:rPr>
              <w:t>S</w:t>
            </w:r>
            <w:r w:rsidRPr="003C5020">
              <w:t xml:space="preserve"> – 1</w:t>
            </w:r>
            <w:r>
              <w:t>4.5</w:t>
            </w:r>
            <w:r w:rsidRPr="003C5020">
              <w:t>)</w:t>
            </w:r>
          </w:p>
        </w:tc>
      </w:tr>
      <w:tr w:rsidR="00935858" w:rsidRPr="003C5020" w:rsidTr="00935858">
        <w:tc>
          <w:tcPr>
            <w:tcW w:w="4927" w:type="dxa"/>
          </w:tcPr>
          <w:p w:rsidR="00935858" w:rsidRPr="003C5020" w:rsidRDefault="00935858" w:rsidP="00935858">
            <w:pPr>
              <w:jc w:val="center"/>
            </w:pPr>
            <w:r>
              <w:t>14.516</w:t>
            </w:r>
            <w:r w:rsidRPr="003C5020">
              <w:t xml:space="preserve"> ≤ </w:t>
            </w:r>
            <w:r w:rsidRPr="003C5020">
              <w:rPr>
                <w:i/>
              </w:rPr>
              <w:t>S</w:t>
            </w:r>
            <w:r>
              <w:t xml:space="preserve"> &lt; 15.375</w:t>
            </w:r>
          </w:p>
        </w:tc>
        <w:tc>
          <w:tcPr>
            <w:tcW w:w="4928" w:type="dxa"/>
          </w:tcPr>
          <w:p w:rsidR="00935858" w:rsidRPr="003C5020" w:rsidRDefault="00935858" w:rsidP="00935858">
            <w:pPr>
              <w:jc w:val="center"/>
            </w:pPr>
            <w:r>
              <w:t>176.25</w:t>
            </w:r>
          </w:p>
        </w:tc>
      </w:tr>
      <w:tr w:rsidR="00935858" w:rsidRPr="003C5020" w:rsidTr="00935858">
        <w:tc>
          <w:tcPr>
            <w:tcW w:w="4927" w:type="dxa"/>
          </w:tcPr>
          <w:p w:rsidR="00935858" w:rsidRPr="003C5020" w:rsidRDefault="00935858" w:rsidP="00935858">
            <w:pPr>
              <w:jc w:val="center"/>
            </w:pPr>
            <w:r>
              <w:t>15.375</w:t>
            </w:r>
            <w:r w:rsidRPr="003C5020">
              <w:t xml:space="preserve"> ≤ </w:t>
            </w:r>
            <w:r w:rsidRPr="003C5020">
              <w:rPr>
                <w:i/>
              </w:rPr>
              <w:t>S</w:t>
            </w:r>
            <w:r w:rsidRPr="003C5020">
              <w:t xml:space="preserve"> &lt; 15.</w:t>
            </w:r>
            <w:r>
              <w:t>5</w:t>
            </w:r>
          </w:p>
        </w:tc>
        <w:tc>
          <w:tcPr>
            <w:tcW w:w="4928" w:type="dxa"/>
          </w:tcPr>
          <w:p w:rsidR="00935858" w:rsidRPr="003C5020" w:rsidRDefault="00935858" w:rsidP="00935858">
            <w:pPr>
              <w:jc w:val="center"/>
            </w:pPr>
            <w:r>
              <w:t>116.25</w:t>
            </w:r>
          </w:p>
        </w:tc>
      </w:tr>
      <w:tr w:rsidR="00935858" w:rsidRPr="003C5020" w:rsidTr="00935858">
        <w:tc>
          <w:tcPr>
            <w:tcW w:w="4927" w:type="dxa"/>
          </w:tcPr>
          <w:p w:rsidR="00935858" w:rsidRPr="003C5020" w:rsidRDefault="00935858" w:rsidP="00935858">
            <w:pPr>
              <w:jc w:val="center"/>
            </w:pPr>
            <w:r>
              <w:t>15.5</w:t>
            </w:r>
            <w:r w:rsidRPr="003C5020">
              <w:t xml:space="preserve"> ≤ </w:t>
            </w:r>
            <w:r w:rsidRPr="003C5020">
              <w:rPr>
                <w:i/>
              </w:rPr>
              <w:t>S</w:t>
            </w:r>
            <w:r w:rsidRPr="003C5020">
              <w:t xml:space="preserve"> ≤  50</w:t>
            </w:r>
          </w:p>
        </w:tc>
        <w:tc>
          <w:tcPr>
            <w:tcW w:w="4928" w:type="dxa"/>
          </w:tcPr>
          <w:p w:rsidR="00935858" w:rsidRPr="003C5020" w:rsidRDefault="00935858" w:rsidP="00935858">
            <w:pPr>
              <w:jc w:val="center"/>
            </w:pPr>
            <w:r>
              <w:t>5</w:t>
            </w:r>
            <w:r w:rsidRPr="003C5020">
              <w:t>0</w:t>
            </w:r>
          </w:p>
        </w:tc>
      </w:tr>
    </w:tbl>
    <w:p w:rsidR="00935858" w:rsidRDefault="00935858" w:rsidP="00935858">
      <w:pPr>
        <w:rPr>
          <w:b/>
        </w:rPr>
      </w:pPr>
    </w:p>
    <w:p w:rsidR="00935858" w:rsidRDefault="00935858" w:rsidP="00935858">
      <w:r>
        <w:t>Finally, note that the Figure II.</w:t>
      </w:r>
      <w:r w:rsidR="0050019A">
        <w:t>2</w:t>
      </w:r>
      <w:r>
        <w:t xml:space="preserve"> and Table II.3 mask is still somewhat complex for observation intervals in the range 14.5 – 15.5 s. The mask can be simplified by allowing it to take on the maximum level in this range, i.e., 176.25 ns. The result is given in Figure II.</w:t>
      </w:r>
      <w:r w:rsidR="0050019A">
        <w:t>3</w:t>
      </w:r>
      <w:r>
        <w:t xml:space="preserve"> and Table II.4.</w:t>
      </w:r>
    </w:p>
    <w:p w:rsidR="00935858" w:rsidRDefault="00935858" w:rsidP="00935858"/>
    <w:p w:rsidR="0050019A" w:rsidRDefault="00450EFD" w:rsidP="00935858">
      <w:r>
        <w:rPr>
          <w:noProof/>
          <w:lang w:eastAsia="zh-CN"/>
        </w:rPr>
        <w:drawing>
          <wp:inline distT="0" distB="0" distL="0" distR="0">
            <wp:extent cx="5481320" cy="4789805"/>
            <wp:effectExtent l="1905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5481320" cy="4789805"/>
                    </a:xfrm>
                    <a:prstGeom prst="rect">
                      <a:avLst/>
                    </a:prstGeom>
                    <a:noFill/>
                    <a:ln w="9525">
                      <a:noFill/>
                      <a:miter lim="800000"/>
                      <a:headEnd/>
                      <a:tailEnd/>
                    </a:ln>
                  </pic:spPr>
                </pic:pic>
              </a:graphicData>
            </a:graphic>
          </wp:inline>
        </w:drawing>
      </w:r>
    </w:p>
    <w:p w:rsidR="00935858" w:rsidRPr="003C5020" w:rsidRDefault="00935858" w:rsidP="00935858">
      <w:pPr>
        <w:ind w:left="810" w:hanging="810"/>
        <w:jc w:val="center"/>
        <w:rPr>
          <w:b/>
          <w:bCs/>
          <w:szCs w:val="24"/>
        </w:rPr>
      </w:pPr>
      <w:r w:rsidRPr="003C5020">
        <w:rPr>
          <w:b/>
          <w:bCs/>
          <w:szCs w:val="24"/>
        </w:rPr>
        <w:t>Figure II.</w:t>
      </w:r>
      <w:r w:rsidR="0050019A">
        <w:rPr>
          <w:b/>
          <w:bCs/>
          <w:szCs w:val="24"/>
        </w:rPr>
        <w:t>3</w:t>
      </w:r>
      <w:r w:rsidRPr="003C5020">
        <w:rPr>
          <w:b/>
          <w:bCs/>
          <w:szCs w:val="24"/>
        </w:rPr>
        <w:t xml:space="preserve"> –  T-BC output phase error histories for each of the two techniques, assuming SyncE/SDH transient starts at time zero</w:t>
      </w:r>
      <w:r>
        <w:rPr>
          <w:b/>
          <w:bCs/>
          <w:szCs w:val="24"/>
        </w:rPr>
        <w:t>, and allowing 1 s of margin for the time of second 120 ns phase jump for scheme (b)</w:t>
      </w:r>
      <w:r w:rsidRPr="003C5020">
        <w:rPr>
          <w:b/>
          <w:bCs/>
          <w:szCs w:val="24"/>
        </w:rPr>
        <w:t>.</w:t>
      </w:r>
    </w:p>
    <w:p w:rsidR="00935858" w:rsidRDefault="00935858" w:rsidP="00935858"/>
    <w:p w:rsidR="00935858" w:rsidRPr="00037172" w:rsidRDefault="00935858" w:rsidP="00935858">
      <w:pPr>
        <w:spacing w:after="120"/>
        <w:ind w:left="1260" w:hanging="1260"/>
        <w:rPr>
          <w:b/>
          <w:bCs/>
          <w:szCs w:val="24"/>
        </w:rPr>
      </w:pPr>
      <w:r w:rsidRPr="00037172">
        <w:rPr>
          <w:b/>
          <w:bCs/>
          <w:szCs w:val="24"/>
        </w:rPr>
        <w:t>Table II.</w:t>
      </w:r>
      <w:r>
        <w:rPr>
          <w:b/>
          <w:bCs/>
          <w:szCs w:val="24"/>
        </w:rPr>
        <w:t>4</w:t>
      </w:r>
      <w:r w:rsidRPr="00037172">
        <w:rPr>
          <w:b/>
          <w:bCs/>
          <w:szCs w:val="24"/>
        </w:rPr>
        <w:t xml:space="preserve"> – Modified</w:t>
      </w:r>
      <w:r>
        <w:rPr>
          <w:b/>
          <w:bCs/>
          <w:szCs w:val="24"/>
        </w:rPr>
        <w:t xml:space="preserve"> </w:t>
      </w:r>
      <w:r w:rsidRPr="00037172">
        <w:rPr>
          <w:b/>
          <w:bCs/>
          <w:szCs w:val="24"/>
        </w:rPr>
        <w:t>T-BC output phase error history using scheme (b) (turning off T-BC filter during SyncE/SDH transient), allowing 1 s of margin for time of second 120 ns phase jump.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8"/>
      </w:tblGrid>
      <w:tr w:rsidR="00935858" w:rsidRPr="003C5020" w:rsidTr="00935858">
        <w:tc>
          <w:tcPr>
            <w:tcW w:w="4927" w:type="dxa"/>
          </w:tcPr>
          <w:p w:rsidR="00935858" w:rsidRPr="003C5020" w:rsidRDefault="00935858" w:rsidP="00935858">
            <w:pPr>
              <w:jc w:val="center"/>
            </w:pPr>
            <w:r w:rsidRPr="003C5020">
              <w:t xml:space="preserve">Time </w:t>
            </w:r>
            <w:r w:rsidRPr="003C5020">
              <w:rPr>
                <w:i/>
              </w:rPr>
              <w:t>S</w:t>
            </w:r>
            <w:r w:rsidRPr="003C5020">
              <w:t xml:space="preserve"> after start of SyncE/SDH rearrangement (s)</w:t>
            </w:r>
          </w:p>
        </w:tc>
        <w:tc>
          <w:tcPr>
            <w:tcW w:w="4928" w:type="dxa"/>
          </w:tcPr>
          <w:p w:rsidR="00935858" w:rsidRPr="003C5020" w:rsidRDefault="00935858" w:rsidP="00935858">
            <w:pPr>
              <w:jc w:val="center"/>
            </w:pPr>
            <w:r w:rsidRPr="003C5020">
              <w:t xml:space="preserve">T-BC Output </w:t>
            </w:r>
            <w:r w:rsidR="00FA20BB" w:rsidRPr="00FA20BB">
              <w:t>Absolute</w:t>
            </w:r>
            <w:r w:rsidR="0005700D" w:rsidRPr="003C5020">
              <w:t xml:space="preserve"> </w:t>
            </w:r>
            <w:r w:rsidRPr="003C5020">
              <w:t>Phase Error (ns)</w:t>
            </w:r>
          </w:p>
        </w:tc>
      </w:tr>
      <w:tr w:rsidR="00935858" w:rsidRPr="003C5020" w:rsidTr="00935858">
        <w:tc>
          <w:tcPr>
            <w:tcW w:w="4927" w:type="dxa"/>
          </w:tcPr>
          <w:p w:rsidR="00935858" w:rsidRPr="003C5020" w:rsidRDefault="00935858" w:rsidP="00935858">
            <w:pPr>
              <w:jc w:val="center"/>
            </w:pPr>
            <w:r w:rsidRPr="003C5020">
              <w:t xml:space="preserve">0 ≤ </w:t>
            </w:r>
            <w:r w:rsidRPr="003C5020">
              <w:rPr>
                <w:i/>
              </w:rPr>
              <w:t>S</w:t>
            </w:r>
            <w:r w:rsidRPr="003C5020">
              <w:t xml:space="preserve"> &lt; 0.016</w:t>
            </w:r>
          </w:p>
        </w:tc>
        <w:tc>
          <w:tcPr>
            <w:tcW w:w="4928" w:type="dxa"/>
          </w:tcPr>
          <w:p w:rsidR="00935858" w:rsidRPr="003C5020" w:rsidRDefault="00935858" w:rsidP="00935858">
            <w:pPr>
              <w:jc w:val="center"/>
              <w:rPr>
                <w:i/>
              </w:rPr>
            </w:pPr>
            <w:r>
              <w:t>5</w:t>
            </w:r>
            <w:r w:rsidRPr="003C5020">
              <w:t>0 + 7500</w:t>
            </w:r>
            <w:r w:rsidRPr="003C5020">
              <w:rPr>
                <w:i/>
              </w:rPr>
              <w:t>S</w:t>
            </w:r>
          </w:p>
        </w:tc>
      </w:tr>
      <w:tr w:rsidR="00935858" w:rsidRPr="003C5020" w:rsidTr="00935858">
        <w:tc>
          <w:tcPr>
            <w:tcW w:w="4927" w:type="dxa"/>
          </w:tcPr>
          <w:p w:rsidR="00935858" w:rsidRPr="003C5020" w:rsidRDefault="00935858" w:rsidP="00935858">
            <w:pPr>
              <w:jc w:val="center"/>
            </w:pPr>
            <w:r w:rsidRPr="003C5020">
              <w:t xml:space="preserve">0.016 ≤ </w:t>
            </w:r>
            <w:r w:rsidRPr="003C5020">
              <w:rPr>
                <w:i/>
              </w:rPr>
              <w:t>S</w:t>
            </w:r>
            <w:r w:rsidRPr="003C5020">
              <w:t xml:space="preserve"> &lt; 2.</w:t>
            </w:r>
            <w:r>
              <w:t>5</w:t>
            </w:r>
            <w:r w:rsidRPr="003C5020">
              <w:t>25</w:t>
            </w:r>
          </w:p>
        </w:tc>
        <w:tc>
          <w:tcPr>
            <w:tcW w:w="4928" w:type="dxa"/>
          </w:tcPr>
          <w:p w:rsidR="00935858" w:rsidRPr="003C5020" w:rsidRDefault="00935858" w:rsidP="00935858">
            <w:pPr>
              <w:jc w:val="center"/>
            </w:pPr>
            <w:r w:rsidRPr="003C5020">
              <w:t>1</w:t>
            </w:r>
            <w:r>
              <w:t>7</w:t>
            </w:r>
            <w:r w:rsidRPr="003C5020">
              <w:t>0 + 50(</w:t>
            </w:r>
            <w:r w:rsidRPr="003C5020">
              <w:rPr>
                <w:i/>
              </w:rPr>
              <w:t>S</w:t>
            </w:r>
            <w:r w:rsidRPr="003C5020">
              <w:t xml:space="preserve"> – 0.016)</w:t>
            </w:r>
          </w:p>
        </w:tc>
      </w:tr>
      <w:tr w:rsidR="00935858" w:rsidRPr="003C5020" w:rsidTr="00935858">
        <w:tc>
          <w:tcPr>
            <w:tcW w:w="4927" w:type="dxa"/>
          </w:tcPr>
          <w:p w:rsidR="00935858" w:rsidRPr="003C5020" w:rsidRDefault="00935858" w:rsidP="00935858">
            <w:pPr>
              <w:jc w:val="center"/>
            </w:pPr>
            <w:r w:rsidRPr="003C5020">
              <w:t>2.</w:t>
            </w:r>
            <w:r>
              <w:t>5</w:t>
            </w:r>
            <w:r w:rsidRPr="003C5020">
              <w:t xml:space="preserve">25 ≤ </w:t>
            </w:r>
            <w:r w:rsidRPr="003C5020">
              <w:rPr>
                <w:i/>
              </w:rPr>
              <w:t>S</w:t>
            </w:r>
            <w:r w:rsidRPr="003C5020">
              <w:t xml:space="preserve"> &lt; 2.</w:t>
            </w:r>
            <w:r>
              <w:t>6</w:t>
            </w:r>
            <w:r w:rsidRPr="003C5020">
              <w:t>5</w:t>
            </w:r>
          </w:p>
        </w:tc>
        <w:tc>
          <w:tcPr>
            <w:tcW w:w="4928" w:type="dxa"/>
          </w:tcPr>
          <w:p w:rsidR="00935858" w:rsidRPr="003C5020" w:rsidRDefault="00935858" w:rsidP="00935858">
            <w:pPr>
              <w:jc w:val="center"/>
            </w:pPr>
            <w:r>
              <w:t>59.375</w:t>
            </w:r>
          </w:p>
        </w:tc>
      </w:tr>
      <w:tr w:rsidR="00935858" w:rsidRPr="003C5020" w:rsidTr="00935858">
        <w:tc>
          <w:tcPr>
            <w:tcW w:w="4927" w:type="dxa"/>
          </w:tcPr>
          <w:p w:rsidR="00935858" w:rsidRPr="003C5020" w:rsidRDefault="00935858" w:rsidP="00935858">
            <w:pPr>
              <w:jc w:val="center"/>
            </w:pPr>
            <w:r w:rsidRPr="003C5020">
              <w:lastRenderedPageBreak/>
              <w:t>2.</w:t>
            </w:r>
            <w:r>
              <w:t>6</w:t>
            </w:r>
            <w:r w:rsidRPr="003C5020">
              <w:t xml:space="preserve">5 ≤ </w:t>
            </w:r>
            <w:r w:rsidRPr="003C5020">
              <w:rPr>
                <w:i/>
              </w:rPr>
              <w:t>S</w:t>
            </w:r>
            <w:r w:rsidRPr="003C5020">
              <w:t xml:space="preserve"> &lt; </w:t>
            </w:r>
            <w:r>
              <w:t>14.5</w:t>
            </w:r>
          </w:p>
        </w:tc>
        <w:tc>
          <w:tcPr>
            <w:tcW w:w="4928" w:type="dxa"/>
          </w:tcPr>
          <w:p w:rsidR="00935858" w:rsidRPr="003C5020" w:rsidRDefault="00935858" w:rsidP="00935858">
            <w:pPr>
              <w:jc w:val="center"/>
            </w:pPr>
            <w:r>
              <w:t>56.25</w:t>
            </w:r>
          </w:p>
        </w:tc>
      </w:tr>
      <w:tr w:rsidR="00935858" w:rsidRPr="003C5020" w:rsidTr="00935858">
        <w:tc>
          <w:tcPr>
            <w:tcW w:w="4927" w:type="dxa"/>
          </w:tcPr>
          <w:p w:rsidR="00935858" w:rsidRPr="003C5020" w:rsidRDefault="00935858" w:rsidP="00935858">
            <w:pPr>
              <w:jc w:val="center"/>
            </w:pPr>
            <w:r>
              <w:t>14.5</w:t>
            </w:r>
            <w:r w:rsidRPr="003C5020">
              <w:t xml:space="preserve"> ≤ </w:t>
            </w:r>
            <w:r w:rsidRPr="003C5020">
              <w:rPr>
                <w:i/>
              </w:rPr>
              <w:t>S</w:t>
            </w:r>
            <w:r w:rsidRPr="003C5020">
              <w:t xml:space="preserve"> &lt; 1</w:t>
            </w:r>
            <w:r>
              <w:t>5.5</w:t>
            </w:r>
          </w:p>
        </w:tc>
        <w:tc>
          <w:tcPr>
            <w:tcW w:w="4928" w:type="dxa"/>
          </w:tcPr>
          <w:p w:rsidR="00935858" w:rsidRPr="003C5020" w:rsidRDefault="00935858" w:rsidP="00935858">
            <w:pPr>
              <w:jc w:val="center"/>
              <w:rPr>
                <w:vertAlign w:val="superscript"/>
              </w:rPr>
            </w:pPr>
            <w:r>
              <w:t>176.25</w:t>
            </w:r>
          </w:p>
        </w:tc>
      </w:tr>
      <w:tr w:rsidR="00935858" w:rsidRPr="003C5020" w:rsidTr="00935858">
        <w:tc>
          <w:tcPr>
            <w:tcW w:w="4927" w:type="dxa"/>
          </w:tcPr>
          <w:p w:rsidR="00935858" w:rsidRPr="003C5020" w:rsidRDefault="00935858" w:rsidP="00935858">
            <w:pPr>
              <w:jc w:val="center"/>
            </w:pPr>
            <w:r>
              <w:t>15.5</w:t>
            </w:r>
            <w:r w:rsidRPr="003C5020">
              <w:t xml:space="preserve"> ≤ </w:t>
            </w:r>
            <w:r w:rsidRPr="003C5020">
              <w:rPr>
                <w:i/>
              </w:rPr>
              <w:t>S</w:t>
            </w:r>
            <w:r>
              <w:t xml:space="preserve"> </w:t>
            </w:r>
            <w:r w:rsidRPr="003C5020">
              <w:t>≤</w:t>
            </w:r>
            <w:r>
              <w:t xml:space="preserve"> 50</w:t>
            </w:r>
          </w:p>
        </w:tc>
        <w:tc>
          <w:tcPr>
            <w:tcW w:w="4928" w:type="dxa"/>
          </w:tcPr>
          <w:p w:rsidR="00935858" w:rsidRPr="003C5020" w:rsidRDefault="00935858" w:rsidP="00935858">
            <w:pPr>
              <w:jc w:val="center"/>
            </w:pPr>
            <w:r>
              <w:t>50</w:t>
            </w:r>
          </w:p>
        </w:tc>
      </w:tr>
    </w:tbl>
    <w:p w:rsidR="00935858" w:rsidRDefault="00935858" w:rsidP="00935858">
      <w:pPr>
        <w:rPr>
          <w:b/>
        </w:rPr>
      </w:pPr>
    </w:p>
    <w:p w:rsidR="00935858" w:rsidRPr="003C5020" w:rsidRDefault="00935858" w:rsidP="00935858">
      <w:r w:rsidRPr="003C5020">
        <w:rPr>
          <w:b/>
        </w:rPr>
        <w:t xml:space="preserve">II.2 </w:t>
      </w:r>
      <w:r w:rsidRPr="003C5020">
        <w:rPr>
          <w:b/>
        </w:rPr>
        <w:tab/>
        <w:t>T-BC output phase transient mask</w:t>
      </w:r>
    </w:p>
    <w:p w:rsidR="00935858" w:rsidRDefault="00935858" w:rsidP="00935858">
      <w:r w:rsidRPr="003C5020">
        <w:t>The T-BC output phase transient mask is taken as the upper envelope of the two output transients of Tables II.1 and II.</w:t>
      </w:r>
      <w:r>
        <w:t>4</w:t>
      </w:r>
      <w:r w:rsidRPr="003C5020">
        <w:t xml:space="preserve"> and Figure II.</w:t>
      </w:r>
      <w:r w:rsidR="0050019A">
        <w:t>3</w:t>
      </w:r>
      <w:r w:rsidRPr="003C5020">
        <w:t xml:space="preserve"> above.</w:t>
      </w:r>
      <w:r>
        <w:t xml:space="preserve"> This is given by the mask of Figure II.</w:t>
      </w:r>
      <w:r w:rsidR="0050019A">
        <w:t>4</w:t>
      </w:r>
      <w:r>
        <w:t xml:space="preserve"> and Table II.5 below.</w:t>
      </w:r>
    </w:p>
    <w:p w:rsidR="007465B9" w:rsidRDefault="007465B9" w:rsidP="00935858">
      <w:pPr>
        <w:jc w:val="center"/>
      </w:pPr>
    </w:p>
    <w:p w:rsidR="0050019A" w:rsidRPr="003C5020" w:rsidRDefault="00450EFD" w:rsidP="00935858">
      <w:pPr>
        <w:jc w:val="center"/>
      </w:pPr>
      <w:r>
        <w:rPr>
          <w:noProof/>
          <w:lang w:eastAsia="zh-CN"/>
        </w:rPr>
        <w:drawing>
          <wp:inline distT="0" distB="0" distL="0" distR="0">
            <wp:extent cx="5443220" cy="4102735"/>
            <wp:effectExtent l="19050" t="0" r="508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443220" cy="4102735"/>
                    </a:xfrm>
                    <a:prstGeom prst="rect">
                      <a:avLst/>
                    </a:prstGeom>
                    <a:noFill/>
                    <a:ln w="9525">
                      <a:noFill/>
                      <a:miter lim="800000"/>
                      <a:headEnd/>
                      <a:tailEnd/>
                    </a:ln>
                  </pic:spPr>
                </pic:pic>
              </a:graphicData>
            </a:graphic>
          </wp:inline>
        </w:drawing>
      </w:r>
    </w:p>
    <w:p w:rsidR="00935858" w:rsidRPr="003C5020" w:rsidRDefault="00935858" w:rsidP="00935858">
      <w:pPr>
        <w:jc w:val="center"/>
        <w:rPr>
          <w:b/>
          <w:bCs/>
        </w:rPr>
      </w:pPr>
      <w:r>
        <w:rPr>
          <w:b/>
          <w:bCs/>
        </w:rPr>
        <w:t>Figure II.</w:t>
      </w:r>
      <w:r w:rsidR="0050019A">
        <w:rPr>
          <w:b/>
          <w:bCs/>
        </w:rPr>
        <w:t>4</w:t>
      </w:r>
      <w:r w:rsidRPr="003C5020">
        <w:rPr>
          <w:b/>
          <w:bCs/>
        </w:rPr>
        <w:t xml:space="preserve"> – </w:t>
      </w:r>
      <w:r>
        <w:rPr>
          <w:b/>
          <w:bCs/>
        </w:rPr>
        <w:t>Upper envelope of masks of Figure II.</w:t>
      </w:r>
      <w:r w:rsidR="0050019A">
        <w:rPr>
          <w:b/>
          <w:bCs/>
        </w:rPr>
        <w:t>3</w:t>
      </w:r>
      <w:r>
        <w:rPr>
          <w:b/>
          <w:bCs/>
        </w:rPr>
        <w:t xml:space="preserve"> and Table II.4</w:t>
      </w:r>
      <w:r w:rsidRPr="003C5020">
        <w:rPr>
          <w:b/>
          <w:bCs/>
        </w:rPr>
        <w:t>.</w:t>
      </w:r>
    </w:p>
    <w:p w:rsidR="00935858" w:rsidRPr="003C5020" w:rsidRDefault="00935858" w:rsidP="00935858">
      <w:pPr>
        <w:jc w:val="center"/>
      </w:pPr>
    </w:p>
    <w:p w:rsidR="00FA20BB" w:rsidRPr="00FA20BB" w:rsidRDefault="00FA20BB" w:rsidP="00FA20BB">
      <w:pPr>
        <w:tabs>
          <w:tab w:val="clear" w:pos="794"/>
          <w:tab w:val="clear" w:pos="1191"/>
          <w:tab w:val="left" w:pos="1260"/>
        </w:tabs>
        <w:spacing w:after="120"/>
        <w:ind w:left="1260" w:hanging="1260"/>
        <w:jc w:val="center"/>
        <w:rPr>
          <w:b/>
          <w:bCs/>
          <w:szCs w:val="24"/>
        </w:rPr>
      </w:pPr>
      <w:r w:rsidRPr="00FA20BB">
        <w:rPr>
          <w:b/>
          <w:bCs/>
          <w:szCs w:val="24"/>
        </w:rPr>
        <w:t>Table II.5– Upper envelope of masks of Figure II.3 and Table II.4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8"/>
      </w:tblGrid>
      <w:tr w:rsidR="00935858" w:rsidRPr="003C5020" w:rsidTr="00935858">
        <w:tc>
          <w:tcPr>
            <w:tcW w:w="4927" w:type="dxa"/>
          </w:tcPr>
          <w:p w:rsidR="00935858" w:rsidRPr="003C5020" w:rsidRDefault="00935858" w:rsidP="00935858">
            <w:pPr>
              <w:jc w:val="center"/>
            </w:pPr>
            <w:r w:rsidRPr="003C5020">
              <w:t xml:space="preserve">Time </w:t>
            </w:r>
            <w:r w:rsidRPr="003C5020">
              <w:rPr>
                <w:i/>
              </w:rPr>
              <w:t>S</w:t>
            </w:r>
            <w:r w:rsidRPr="003C5020">
              <w:t xml:space="preserve"> after start of SyncE/SDH rearrangement (s)</w:t>
            </w:r>
          </w:p>
        </w:tc>
        <w:tc>
          <w:tcPr>
            <w:tcW w:w="4928" w:type="dxa"/>
          </w:tcPr>
          <w:p w:rsidR="00935858" w:rsidRPr="003C5020" w:rsidRDefault="00935858" w:rsidP="00935858">
            <w:pPr>
              <w:jc w:val="center"/>
            </w:pPr>
            <w:r w:rsidRPr="003C5020">
              <w:t xml:space="preserve">T-BC Output </w:t>
            </w:r>
            <w:r w:rsidR="00FA20BB" w:rsidRPr="00FA20BB">
              <w:t>Absolute</w:t>
            </w:r>
            <w:r w:rsidR="0005700D" w:rsidRPr="003C5020">
              <w:t xml:space="preserve"> </w:t>
            </w:r>
            <w:r w:rsidRPr="003C5020">
              <w:t>Phase Error (ns)</w:t>
            </w:r>
          </w:p>
        </w:tc>
      </w:tr>
      <w:tr w:rsidR="00935858" w:rsidRPr="003C5020" w:rsidTr="00935858">
        <w:tc>
          <w:tcPr>
            <w:tcW w:w="4927" w:type="dxa"/>
          </w:tcPr>
          <w:p w:rsidR="00935858" w:rsidRPr="003C5020" w:rsidRDefault="00935858" w:rsidP="00935858">
            <w:pPr>
              <w:jc w:val="center"/>
            </w:pPr>
            <w:r w:rsidRPr="003C5020">
              <w:t xml:space="preserve">0 ≤ </w:t>
            </w:r>
            <w:r w:rsidRPr="003C5020">
              <w:rPr>
                <w:i/>
              </w:rPr>
              <w:t>S</w:t>
            </w:r>
            <w:r w:rsidRPr="003C5020">
              <w:t xml:space="preserve"> &lt; 0.016</w:t>
            </w:r>
          </w:p>
        </w:tc>
        <w:tc>
          <w:tcPr>
            <w:tcW w:w="4928" w:type="dxa"/>
          </w:tcPr>
          <w:p w:rsidR="00935858" w:rsidRPr="003C5020" w:rsidRDefault="00935858" w:rsidP="00935858">
            <w:pPr>
              <w:jc w:val="center"/>
              <w:rPr>
                <w:i/>
              </w:rPr>
            </w:pPr>
            <w:r>
              <w:t>5</w:t>
            </w:r>
            <w:r w:rsidRPr="003C5020">
              <w:t>0 + 7500</w:t>
            </w:r>
            <w:r w:rsidRPr="003C5020">
              <w:rPr>
                <w:i/>
              </w:rPr>
              <w:t>S</w:t>
            </w:r>
          </w:p>
        </w:tc>
      </w:tr>
      <w:tr w:rsidR="00935858" w:rsidRPr="003C5020" w:rsidTr="00935858">
        <w:tc>
          <w:tcPr>
            <w:tcW w:w="4927" w:type="dxa"/>
          </w:tcPr>
          <w:p w:rsidR="00935858" w:rsidRPr="003C5020" w:rsidRDefault="00935858" w:rsidP="00935858">
            <w:pPr>
              <w:jc w:val="center"/>
            </w:pPr>
            <w:r w:rsidRPr="003C5020">
              <w:t xml:space="preserve">0.016 ≤ </w:t>
            </w:r>
            <w:r w:rsidRPr="003C5020">
              <w:rPr>
                <w:i/>
              </w:rPr>
              <w:t>S</w:t>
            </w:r>
            <w:r w:rsidRPr="003C5020">
              <w:t xml:space="preserve"> &lt; 0.5</w:t>
            </w:r>
          </w:p>
        </w:tc>
        <w:tc>
          <w:tcPr>
            <w:tcW w:w="4928" w:type="dxa"/>
          </w:tcPr>
          <w:p w:rsidR="00935858" w:rsidRPr="003C5020" w:rsidRDefault="00935858" w:rsidP="00935858">
            <w:pPr>
              <w:jc w:val="center"/>
            </w:pPr>
            <w:r w:rsidRPr="003C5020">
              <w:t>1</w:t>
            </w:r>
            <w:r>
              <w:t>7</w:t>
            </w:r>
            <w:r w:rsidRPr="003C5020">
              <w:t>0 + 50(</w:t>
            </w:r>
            <w:r w:rsidRPr="003C5020">
              <w:rPr>
                <w:i/>
              </w:rPr>
              <w:t>S</w:t>
            </w:r>
            <w:r w:rsidRPr="003C5020">
              <w:t xml:space="preserve"> – 0.016)</w:t>
            </w:r>
          </w:p>
        </w:tc>
      </w:tr>
      <w:tr w:rsidR="00935858" w:rsidRPr="003C5020" w:rsidTr="00935858">
        <w:tc>
          <w:tcPr>
            <w:tcW w:w="4927" w:type="dxa"/>
          </w:tcPr>
          <w:p w:rsidR="00935858" w:rsidRPr="003C5020" w:rsidRDefault="00935858" w:rsidP="00935858">
            <w:pPr>
              <w:jc w:val="center"/>
            </w:pPr>
            <w:r w:rsidRPr="003C5020">
              <w:t xml:space="preserve">0.5 ≤ </w:t>
            </w:r>
            <w:r w:rsidRPr="003C5020">
              <w:rPr>
                <w:i/>
              </w:rPr>
              <w:t>S</w:t>
            </w:r>
            <w:r>
              <w:t xml:space="preserve"> &lt; 2.4</w:t>
            </w:r>
          </w:p>
        </w:tc>
        <w:tc>
          <w:tcPr>
            <w:tcW w:w="4928" w:type="dxa"/>
          </w:tcPr>
          <w:p w:rsidR="00935858" w:rsidRPr="003C5020" w:rsidRDefault="00935858" w:rsidP="00935858">
            <w:pPr>
              <w:jc w:val="center"/>
            </w:pPr>
            <w:r w:rsidRPr="003C5020">
              <w:t>2</w:t>
            </w:r>
            <w:r>
              <w:t>2</w:t>
            </w:r>
            <w:r w:rsidRPr="003C5020">
              <w:t>4.2 + 50(</w:t>
            </w:r>
            <w:r w:rsidRPr="003C5020">
              <w:rPr>
                <w:i/>
              </w:rPr>
              <w:t>S</w:t>
            </w:r>
            <w:r w:rsidRPr="003C5020">
              <w:t xml:space="preserve"> – 0.5)</w:t>
            </w:r>
          </w:p>
        </w:tc>
      </w:tr>
      <w:tr w:rsidR="00935858" w:rsidRPr="003C5020" w:rsidTr="00935858">
        <w:tc>
          <w:tcPr>
            <w:tcW w:w="4927" w:type="dxa"/>
          </w:tcPr>
          <w:p w:rsidR="00935858" w:rsidRPr="003C5020" w:rsidRDefault="00935858" w:rsidP="00935858">
            <w:pPr>
              <w:jc w:val="center"/>
            </w:pPr>
            <w:r w:rsidRPr="003C5020">
              <w:t>2.</w:t>
            </w:r>
            <w:r>
              <w:t>4</w:t>
            </w:r>
            <w:r w:rsidRPr="003C5020">
              <w:t xml:space="preserve"> ≤ </w:t>
            </w:r>
            <w:r w:rsidRPr="003C5020">
              <w:rPr>
                <w:i/>
              </w:rPr>
              <w:t>S</w:t>
            </w:r>
            <w:r w:rsidRPr="003C5020">
              <w:t xml:space="preserve"> &lt; </w:t>
            </w:r>
            <w:r>
              <w:t>14.3776</w:t>
            </w:r>
          </w:p>
        </w:tc>
        <w:tc>
          <w:tcPr>
            <w:tcW w:w="4928" w:type="dxa"/>
          </w:tcPr>
          <w:p w:rsidR="00935858" w:rsidRPr="003C5020" w:rsidRDefault="00935858" w:rsidP="00935858">
            <w:pPr>
              <w:jc w:val="center"/>
            </w:pPr>
            <w:r>
              <w:t>5</w:t>
            </w:r>
            <w:r w:rsidRPr="003C5020">
              <w:t>0 + 2</w:t>
            </w:r>
            <w:r>
              <w:t>6</w:t>
            </w:r>
            <w:r w:rsidRPr="003C5020">
              <w:t>9.2</w:t>
            </w:r>
            <w:r w:rsidRPr="003C5020">
              <w:rPr>
                <w:i/>
              </w:rPr>
              <w:t>e</w:t>
            </w:r>
            <w:r w:rsidRPr="003C5020">
              <w:rPr>
                <w:vertAlign w:val="superscript"/>
              </w:rPr>
              <w:t xml:space="preserve"> –2π(0.05)(</w:t>
            </w:r>
            <w:r w:rsidRPr="003C5020">
              <w:rPr>
                <w:i/>
                <w:vertAlign w:val="superscript"/>
              </w:rPr>
              <w:t>S</w:t>
            </w:r>
            <w:r>
              <w:rPr>
                <w:vertAlign w:val="superscript"/>
              </w:rPr>
              <w:t xml:space="preserve"> – 2.4</w:t>
            </w:r>
            <w:r w:rsidRPr="003C5020">
              <w:rPr>
                <w:vertAlign w:val="superscript"/>
              </w:rPr>
              <w:t>)</w:t>
            </w:r>
          </w:p>
        </w:tc>
      </w:tr>
      <w:tr w:rsidR="00935858" w:rsidRPr="003C5020" w:rsidTr="00935858">
        <w:tc>
          <w:tcPr>
            <w:tcW w:w="4927" w:type="dxa"/>
          </w:tcPr>
          <w:p w:rsidR="00935858" w:rsidRPr="003C5020" w:rsidRDefault="00935858" w:rsidP="00935858">
            <w:pPr>
              <w:jc w:val="center"/>
            </w:pPr>
            <w:r>
              <w:t>14.3776</w:t>
            </w:r>
            <w:r w:rsidRPr="003C5020">
              <w:t xml:space="preserve"> ≤ </w:t>
            </w:r>
            <w:r w:rsidRPr="003C5020">
              <w:rPr>
                <w:i/>
              </w:rPr>
              <w:t>S</w:t>
            </w:r>
            <w:r w:rsidRPr="003C5020">
              <w:t xml:space="preserve"> ≤  </w:t>
            </w:r>
            <w:r>
              <w:t>14.5</w:t>
            </w:r>
          </w:p>
        </w:tc>
        <w:tc>
          <w:tcPr>
            <w:tcW w:w="4928" w:type="dxa"/>
          </w:tcPr>
          <w:p w:rsidR="00935858" w:rsidRPr="003C5020" w:rsidRDefault="00935858" w:rsidP="00935858">
            <w:pPr>
              <w:jc w:val="center"/>
            </w:pPr>
            <w:r>
              <w:t>56.25</w:t>
            </w:r>
          </w:p>
        </w:tc>
      </w:tr>
      <w:tr w:rsidR="00935858" w:rsidRPr="003C5020" w:rsidTr="00935858">
        <w:tc>
          <w:tcPr>
            <w:tcW w:w="4927" w:type="dxa"/>
          </w:tcPr>
          <w:p w:rsidR="00935858" w:rsidRDefault="00935858" w:rsidP="00935858">
            <w:pPr>
              <w:jc w:val="center"/>
            </w:pPr>
            <w:r>
              <w:lastRenderedPageBreak/>
              <w:t>14.5</w:t>
            </w:r>
            <w:r w:rsidRPr="003C5020">
              <w:t xml:space="preserve"> ≤ </w:t>
            </w:r>
            <w:r w:rsidRPr="003C5020">
              <w:rPr>
                <w:i/>
              </w:rPr>
              <w:t>S</w:t>
            </w:r>
            <w:r w:rsidRPr="003C5020">
              <w:t xml:space="preserve"> &lt; 1</w:t>
            </w:r>
            <w:r>
              <w:t>5.5</w:t>
            </w:r>
          </w:p>
        </w:tc>
        <w:tc>
          <w:tcPr>
            <w:tcW w:w="4928" w:type="dxa"/>
          </w:tcPr>
          <w:p w:rsidR="00935858" w:rsidRDefault="00935858" w:rsidP="00935858">
            <w:pPr>
              <w:jc w:val="center"/>
            </w:pPr>
            <w:r>
              <w:t>176.25</w:t>
            </w:r>
          </w:p>
        </w:tc>
      </w:tr>
      <w:tr w:rsidR="00935858" w:rsidRPr="003C5020" w:rsidTr="00935858">
        <w:tc>
          <w:tcPr>
            <w:tcW w:w="4927" w:type="dxa"/>
          </w:tcPr>
          <w:p w:rsidR="00935858" w:rsidRDefault="00935858" w:rsidP="00935858">
            <w:pPr>
              <w:jc w:val="center"/>
            </w:pPr>
            <w:r>
              <w:t>15.5</w:t>
            </w:r>
            <w:r w:rsidRPr="003C5020">
              <w:t xml:space="preserve"> ≤ </w:t>
            </w:r>
            <w:r w:rsidRPr="003C5020">
              <w:rPr>
                <w:i/>
              </w:rPr>
              <w:t>S</w:t>
            </w:r>
            <w:r>
              <w:t xml:space="preserve"> &lt; 25.448</w:t>
            </w:r>
          </w:p>
        </w:tc>
        <w:tc>
          <w:tcPr>
            <w:tcW w:w="4928" w:type="dxa"/>
          </w:tcPr>
          <w:p w:rsidR="00935858" w:rsidRDefault="00935858" w:rsidP="00935858">
            <w:pPr>
              <w:jc w:val="center"/>
            </w:pPr>
            <w:r>
              <w:t>110</w:t>
            </w:r>
            <w:r w:rsidRPr="003C5020">
              <w:t xml:space="preserve"> + </w:t>
            </w:r>
            <w:r>
              <w:t>269.2</w:t>
            </w:r>
            <w:r w:rsidRPr="003C5020">
              <w:rPr>
                <w:i/>
              </w:rPr>
              <w:t xml:space="preserve"> e</w:t>
            </w:r>
            <w:r w:rsidRPr="003C5020">
              <w:rPr>
                <w:vertAlign w:val="superscript"/>
              </w:rPr>
              <w:t xml:space="preserve"> –2π(0.05)(</w:t>
            </w:r>
            <w:r w:rsidRPr="003C5020">
              <w:rPr>
                <w:i/>
                <w:vertAlign w:val="superscript"/>
              </w:rPr>
              <w:t>S</w:t>
            </w:r>
            <w:r w:rsidRPr="003C5020">
              <w:rPr>
                <w:vertAlign w:val="superscript"/>
              </w:rPr>
              <w:t xml:space="preserve"> – </w:t>
            </w:r>
            <w:r>
              <w:rPr>
                <w:vertAlign w:val="superscript"/>
              </w:rPr>
              <w:t>2.4</w:t>
            </w:r>
            <w:r w:rsidRPr="003C5020">
              <w:rPr>
                <w:vertAlign w:val="superscript"/>
              </w:rPr>
              <w:t>)</w:t>
            </w:r>
          </w:p>
        </w:tc>
      </w:tr>
      <w:tr w:rsidR="00935858" w:rsidRPr="003C5020" w:rsidTr="00935858">
        <w:tc>
          <w:tcPr>
            <w:tcW w:w="4927" w:type="dxa"/>
          </w:tcPr>
          <w:p w:rsidR="00935858" w:rsidRDefault="00935858" w:rsidP="00935858">
            <w:pPr>
              <w:jc w:val="center"/>
            </w:pPr>
            <w:r>
              <w:t>25.448</w:t>
            </w:r>
            <w:r w:rsidRPr="003C5020">
              <w:t xml:space="preserve"> ≤ </w:t>
            </w:r>
            <w:r w:rsidRPr="003C5020">
              <w:rPr>
                <w:i/>
              </w:rPr>
              <w:t>S</w:t>
            </w:r>
            <w:r>
              <w:t xml:space="preserve"> </w:t>
            </w:r>
            <w:r w:rsidRPr="003C5020">
              <w:t>≤</w:t>
            </w:r>
            <w:r>
              <w:t xml:space="preserve"> 50</w:t>
            </w:r>
          </w:p>
        </w:tc>
        <w:tc>
          <w:tcPr>
            <w:tcW w:w="4928" w:type="dxa"/>
          </w:tcPr>
          <w:p w:rsidR="00935858" w:rsidRDefault="00935858" w:rsidP="00935858">
            <w:pPr>
              <w:jc w:val="center"/>
            </w:pPr>
            <w:r>
              <w:t>50</w:t>
            </w:r>
            <w:r w:rsidRPr="003C5020">
              <w:t xml:space="preserve"> + 60</w:t>
            </w:r>
            <w:r>
              <w:t>.193</w:t>
            </w:r>
            <w:r w:rsidRPr="003C5020">
              <w:rPr>
                <w:i/>
              </w:rPr>
              <w:t xml:space="preserve"> e</w:t>
            </w:r>
            <w:r w:rsidRPr="003C5020">
              <w:rPr>
                <w:vertAlign w:val="superscript"/>
              </w:rPr>
              <w:t xml:space="preserve"> –2π(0.05)(</w:t>
            </w:r>
            <w:r w:rsidRPr="003C5020">
              <w:rPr>
                <w:i/>
                <w:vertAlign w:val="superscript"/>
              </w:rPr>
              <w:t>S</w:t>
            </w:r>
            <w:r w:rsidRPr="003C5020">
              <w:rPr>
                <w:vertAlign w:val="superscript"/>
              </w:rPr>
              <w:t xml:space="preserve"> – 25</w:t>
            </w:r>
            <w:r>
              <w:rPr>
                <w:vertAlign w:val="superscript"/>
              </w:rPr>
              <w:t>.448</w:t>
            </w:r>
            <w:r w:rsidRPr="003C5020">
              <w:rPr>
                <w:vertAlign w:val="superscript"/>
              </w:rPr>
              <w:t>)</w:t>
            </w:r>
          </w:p>
        </w:tc>
      </w:tr>
    </w:tbl>
    <w:p w:rsidR="00935858" w:rsidRDefault="00935858" w:rsidP="00935858"/>
    <w:p w:rsidR="001F4D32" w:rsidRDefault="00935858">
      <w:r>
        <w:t>Further simplifications are possible. First, in Figure II.</w:t>
      </w:r>
      <w:r w:rsidR="0050019A">
        <w:t xml:space="preserve">4 </w:t>
      </w:r>
      <w:r>
        <w:t xml:space="preserve">and Table II.5, the limit of 56.25 ns for observation intervals between 14.3776 s and 14.5 s is of very short duration. The mask can be simplified by extending the limit of 176.25 ns, currently for observation intervals between 14.3776 s and 14.5 s, to the range 14.3776 – 14.5 s, and rounding the lower end of the range to 14.25 s. </w:t>
      </w:r>
      <w:r w:rsidRPr="003C5020">
        <w:t xml:space="preserve"> </w:t>
      </w:r>
      <w:r>
        <w:t>The result</w:t>
      </w:r>
      <w:r w:rsidRPr="003C5020">
        <w:t xml:space="preserve"> is given by the mask of Figure </w:t>
      </w:r>
      <w:r>
        <w:t>II.</w:t>
      </w:r>
      <w:r w:rsidR="0050019A">
        <w:t>5</w:t>
      </w:r>
      <w:r w:rsidR="0050019A" w:rsidRPr="003C5020">
        <w:t xml:space="preserve"> </w:t>
      </w:r>
      <w:r w:rsidRPr="003C5020">
        <w:t xml:space="preserve">and Table </w:t>
      </w:r>
      <w:r>
        <w:t>II.6 below.</w:t>
      </w:r>
      <w:r w:rsidRPr="003C5020">
        <w:t xml:space="preserve"> </w:t>
      </w:r>
    </w:p>
    <w:p w:rsidR="007465B9" w:rsidRDefault="007465B9"/>
    <w:p w:rsidR="0050019A" w:rsidRDefault="00450EFD">
      <w:r>
        <w:rPr>
          <w:noProof/>
          <w:lang w:eastAsia="zh-CN"/>
        </w:rPr>
        <w:drawing>
          <wp:inline distT="0" distB="0" distL="0" distR="0">
            <wp:extent cx="5443220" cy="4083685"/>
            <wp:effectExtent l="19050" t="0" r="508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443220" cy="4083685"/>
                    </a:xfrm>
                    <a:prstGeom prst="rect">
                      <a:avLst/>
                    </a:prstGeom>
                    <a:noFill/>
                    <a:ln w="9525">
                      <a:noFill/>
                      <a:miter lim="800000"/>
                      <a:headEnd/>
                      <a:tailEnd/>
                    </a:ln>
                  </pic:spPr>
                </pic:pic>
              </a:graphicData>
            </a:graphic>
          </wp:inline>
        </w:drawing>
      </w:r>
    </w:p>
    <w:p w:rsidR="00935858" w:rsidRDefault="00935858" w:rsidP="00935858">
      <w:pPr>
        <w:jc w:val="center"/>
        <w:rPr>
          <w:b/>
          <w:bCs/>
        </w:rPr>
      </w:pPr>
      <w:r w:rsidRPr="003C5020">
        <w:rPr>
          <w:b/>
          <w:bCs/>
        </w:rPr>
        <w:t xml:space="preserve">Figure </w:t>
      </w:r>
      <w:r>
        <w:rPr>
          <w:b/>
          <w:bCs/>
        </w:rPr>
        <w:t>II.</w:t>
      </w:r>
      <w:r w:rsidR="0050019A">
        <w:rPr>
          <w:b/>
          <w:bCs/>
        </w:rPr>
        <w:t>5</w:t>
      </w:r>
      <w:r w:rsidR="0050019A" w:rsidRPr="003C5020">
        <w:rPr>
          <w:b/>
          <w:bCs/>
        </w:rPr>
        <w:t xml:space="preserve"> </w:t>
      </w:r>
      <w:r w:rsidRPr="003C5020">
        <w:rPr>
          <w:b/>
          <w:bCs/>
        </w:rPr>
        <w:t xml:space="preserve">– </w:t>
      </w:r>
      <w:r>
        <w:rPr>
          <w:b/>
          <w:bCs/>
        </w:rPr>
        <w:t>Upper envelope of masks of Figure II.</w:t>
      </w:r>
      <w:r w:rsidR="00856A61">
        <w:rPr>
          <w:b/>
          <w:bCs/>
        </w:rPr>
        <w:t>3</w:t>
      </w:r>
      <w:r>
        <w:rPr>
          <w:b/>
          <w:bCs/>
        </w:rPr>
        <w:t xml:space="preserve"> and Table II.4 after applying simplifications in the range 14.25 – 14.5 s</w:t>
      </w:r>
      <w:r w:rsidRPr="003C5020">
        <w:rPr>
          <w:b/>
          <w:bCs/>
        </w:rPr>
        <w:t>.</w:t>
      </w:r>
    </w:p>
    <w:p w:rsidR="004F7F0D" w:rsidRPr="003C5020" w:rsidRDefault="004F7F0D" w:rsidP="00935858">
      <w:pPr>
        <w:jc w:val="center"/>
        <w:rPr>
          <w:b/>
          <w:bCs/>
        </w:rPr>
      </w:pPr>
    </w:p>
    <w:p w:rsidR="00FA20BB" w:rsidRDefault="00935858" w:rsidP="00FA20BB">
      <w:pPr>
        <w:tabs>
          <w:tab w:val="clear" w:pos="794"/>
          <w:tab w:val="clear" w:pos="1191"/>
          <w:tab w:val="left" w:pos="1260"/>
        </w:tabs>
        <w:spacing w:after="120"/>
        <w:ind w:left="1260" w:hanging="1260"/>
        <w:jc w:val="center"/>
        <w:rPr>
          <w:b/>
          <w:bCs/>
          <w:szCs w:val="24"/>
        </w:rPr>
      </w:pPr>
      <w:r w:rsidRPr="00F7046A">
        <w:rPr>
          <w:b/>
          <w:bCs/>
          <w:szCs w:val="24"/>
        </w:rPr>
        <w:t>Table II.6 – Upper envelope of masks of Figure II.</w:t>
      </w:r>
      <w:r w:rsidR="00856A61">
        <w:rPr>
          <w:b/>
          <w:bCs/>
          <w:szCs w:val="24"/>
        </w:rPr>
        <w:t>3</w:t>
      </w:r>
      <w:r w:rsidRPr="00F7046A">
        <w:rPr>
          <w:b/>
          <w:bCs/>
          <w:szCs w:val="24"/>
        </w:rPr>
        <w:t xml:space="preserve"> and Table II.4 after applying simplifications in the range 14.25 – 14.5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8"/>
      </w:tblGrid>
      <w:tr w:rsidR="00935858" w:rsidRPr="003C5020" w:rsidTr="00935858">
        <w:tc>
          <w:tcPr>
            <w:tcW w:w="4927" w:type="dxa"/>
          </w:tcPr>
          <w:p w:rsidR="00935858" w:rsidRPr="003C5020" w:rsidRDefault="00935858" w:rsidP="00935858">
            <w:pPr>
              <w:jc w:val="center"/>
            </w:pPr>
            <w:r w:rsidRPr="003C5020">
              <w:t xml:space="preserve">Time </w:t>
            </w:r>
            <w:r w:rsidRPr="003C5020">
              <w:rPr>
                <w:i/>
              </w:rPr>
              <w:t>S</w:t>
            </w:r>
            <w:r w:rsidRPr="003C5020">
              <w:t xml:space="preserve"> after start of SyncE/SDH rearrangement (s)</w:t>
            </w:r>
          </w:p>
        </w:tc>
        <w:tc>
          <w:tcPr>
            <w:tcW w:w="4928" w:type="dxa"/>
          </w:tcPr>
          <w:p w:rsidR="00935858" w:rsidRPr="003C5020" w:rsidRDefault="00935858" w:rsidP="00935858">
            <w:pPr>
              <w:jc w:val="center"/>
            </w:pPr>
            <w:r w:rsidRPr="003C5020">
              <w:t xml:space="preserve">T-BC Output </w:t>
            </w:r>
            <w:r w:rsidR="00FA20BB" w:rsidRPr="00FA20BB">
              <w:t>Absolute</w:t>
            </w:r>
            <w:r w:rsidR="0005700D" w:rsidRPr="003C5020">
              <w:t xml:space="preserve"> </w:t>
            </w:r>
            <w:r w:rsidRPr="003C5020">
              <w:t>Phase Error (ns)</w:t>
            </w:r>
          </w:p>
        </w:tc>
      </w:tr>
      <w:tr w:rsidR="00935858" w:rsidRPr="003C5020" w:rsidTr="00935858">
        <w:tc>
          <w:tcPr>
            <w:tcW w:w="4927" w:type="dxa"/>
          </w:tcPr>
          <w:p w:rsidR="00935858" w:rsidRPr="003C5020" w:rsidRDefault="00935858" w:rsidP="00935858">
            <w:pPr>
              <w:jc w:val="center"/>
            </w:pPr>
            <w:r w:rsidRPr="003C5020">
              <w:t xml:space="preserve">0 ≤ </w:t>
            </w:r>
            <w:r w:rsidRPr="003C5020">
              <w:rPr>
                <w:i/>
              </w:rPr>
              <w:t>S</w:t>
            </w:r>
            <w:r w:rsidRPr="003C5020">
              <w:t xml:space="preserve"> &lt; 0.016</w:t>
            </w:r>
          </w:p>
        </w:tc>
        <w:tc>
          <w:tcPr>
            <w:tcW w:w="4928" w:type="dxa"/>
          </w:tcPr>
          <w:p w:rsidR="00935858" w:rsidRPr="003C5020" w:rsidRDefault="00935858" w:rsidP="00935858">
            <w:pPr>
              <w:jc w:val="center"/>
              <w:rPr>
                <w:i/>
              </w:rPr>
            </w:pPr>
            <w:r>
              <w:t>5</w:t>
            </w:r>
            <w:r w:rsidRPr="003C5020">
              <w:t>0 + 7500</w:t>
            </w:r>
            <w:r w:rsidRPr="003C5020">
              <w:rPr>
                <w:i/>
              </w:rPr>
              <w:t>S</w:t>
            </w:r>
          </w:p>
        </w:tc>
      </w:tr>
      <w:tr w:rsidR="00935858" w:rsidRPr="003C5020" w:rsidTr="00935858">
        <w:tc>
          <w:tcPr>
            <w:tcW w:w="4927" w:type="dxa"/>
          </w:tcPr>
          <w:p w:rsidR="00935858" w:rsidRPr="003C5020" w:rsidRDefault="00935858" w:rsidP="00935858">
            <w:pPr>
              <w:jc w:val="center"/>
            </w:pPr>
            <w:r w:rsidRPr="003C5020">
              <w:t xml:space="preserve">0.016 ≤ </w:t>
            </w:r>
            <w:r w:rsidRPr="003C5020">
              <w:rPr>
                <w:i/>
              </w:rPr>
              <w:t>S</w:t>
            </w:r>
            <w:r w:rsidRPr="003C5020">
              <w:t xml:space="preserve"> &lt; 0.5</w:t>
            </w:r>
          </w:p>
        </w:tc>
        <w:tc>
          <w:tcPr>
            <w:tcW w:w="4928" w:type="dxa"/>
          </w:tcPr>
          <w:p w:rsidR="00935858" w:rsidRPr="003C5020" w:rsidRDefault="00935858" w:rsidP="00935858">
            <w:pPr>
              <w:jc w:val="center"/>
            </w:pPr>
            <w:r w:rsidRPr="003C5020">
              <w:t>1</w:t>
            </w:r>
            <w:r>
              <w:t>7</w:t>
            </w:r>
            <w:r w:rsidRPr="003C5020">
              <w:t>0 + 50(</w:t>
            </w:r>
            <w:r w:rsidRPr="003C5020">
              <w:rPr>
                <w:i/>
              </w:rPr>
              <w:t>S</w:t>
            </w:r>
            <w:r w:rsidRPr="003C5020">
              <w:t xml:space="preserve"> – 0.016)</w:t>
            </w:r>
          </w:p>
        </w:tc>
      </w:tr>
      <w:tr w:rsidR="00935858" w:rsidRPr="003C5020" w:rsidTr="00935858">
        <w:tc>
          <w:tcPr>
            <w:tcW w:w="4927" w:type="dxa"/>
          </w:tcPr>
          <w:p w:rsidR="00935858" w:rsidRPr="003C5020" w:rsidRDefault="00935858" w:rsidP="00935858">
            <w:pPr>
              <w:jc w:val="center"/>
            </w:pPr>
            <w:r w:rsidRPr="003C5020">
              <w:t xml:space="preserve">0.5 ≤ </w:t>
            </w:r>
            <w:r w:rsidRPr="003C5020">
              <w:rPr>
                <w:i/>
              </w:rPr>
              <w:t>S</w:t>
            </w:r>
            <w:r>
              <w:t xml:space="preserve"> &lt; 2.4</w:t>
            </w:r>
          </w:p>
        </w:tc>
        <w:tc>
          <w:tcPr>
            <w:tcW w:w="4928" w:type="dxa"/>
          </w:tcPr>
          <w:p w:rsidR="00935858" w:rsidRPr="003C5020" w:rsidRDefault="00935858" w:rsidP="00935858">
            <w:pPr>
              <w:jc w:val="center"/>
            </w:pPr>
            <w:r w:rsidRPr="003C5020">
              <w:t>2</w:t>
            </w:r>
            <w:r>
              <w:t>2</w:t>
            </w:r>
            <w:r w:rsidRPr="003C5020">
              <w:t>4.2 + 50(</w:t>
            </w:r>
            <w:r w:rsidRPr="003C5020">
              <w:rPr>
                <w:i/>
              </w:rPr>
              <w:t>S</w:t>
            </w:r>
            <w:r w:rsidRPr="003C5020">
              <w:t xml:space="preserve"> – 0.5)</w:t>
            </w:r>
          </w:p>
        </w:tc>
      </w:tr>
      <w:tr w:rsidR="00935858" w:rsidRPr="003C5020" w:rsidTr="00935858">
        <w:tc>
          <w:tcPr>
            <w:tcW w:w="4927" w:type="dxa"/>
          </w:tcPr>
          <w:p w:rsidR="00935858" w:rsidRPr="003C5020" w:rsidRDefault="00935858" w:rsidP="00935858">
            <w:pPr>
              <w:jc w:val="center"/>
            </w:pPr>
            <w:r w:rsidRPr="003C5020">
              <w:lastRenderedPageBreak/>
              <w:t>2.</w:t>
            </w:r>
            <w:r>
              <w:t>4</w:t>
            </w:r>
            <w:r w:rsidRPr="003C5020">
              <w:t xml:space="preserve"> ≤ </w:t>
            </w:r>
            <w:r w:rsidRPr="003C5020">
              <w:rPr>
                <w:i/>
              </w:rPr>
              <w:t>S</w:t>
            </w:r>
            <w:r w:rsidRPr="003C5020">
              <w:t xml:space="preserve"> &lt; </w:t>
            </w:r>
            <w:r>
              <w:t>14.25</w:t>
            </w:r>
          </w:p>
        </w:tc>
        <w:tc>
          <w:tcPr>
            <w:tcW w:w="4928" w:type="dxa"/>
          </w:tcPr>
          <w:p w:rsidR="00935858" w:rsidRPr="003C5020" w:rsidRDefault="00935858" w:rsidP="00935858">
            <w:pPr>
              <w:jc w:val="center"/>
            </w:pPr>
            <w:r>
              <w:t>5</w:t>
            </w:r>
            <w:r w:rsidRPr="003C5020">
              <w:t>0 + 2</w:t>
            </w:r>
            <w:r>
              <w:t>6</w:t>
            </w:r>
            <w:r w:rsidRPr="003C5020">
              <w:t>9.2</w:t>
            </w:r>
            <w:r w:rsidRPr="003C5020">
              <w:rPr>
                <w:i/>
              </w:rPr>
              <w:t>e</w:t>
            </w:r>
            <w:r w:rsidRPr="003C5020">
              <w:rPr>
                <w:vertAlign w:val="superscript"/>
              </w:rPr>
              <w:t xml:space="preserve"> –2π(0.05)(</w:t>
            </w:r>
            <w:r w:rsidRPr="003C5020">
              <w:rPr>
                <w:i/>
                <w:vertAlign w:val="superscript"/>
              </w:rPr>
              <w:t>S</w:t>
            </w:r>
            <w:r>
              <w:rPr>
                <w:vertAlign w:val="superscript"/>
              </w:rPr>
              <w:t xml:space="preserve"> – 2.4</w:t>
            </w:r>
            <w:r w:rsidRPr="003C5020">
              <w:rPr>
                <w:vertAlign w:val="superscript"/>
              </w:rPr>
              <w:t>)</w:t>
            </w:r>
          </w:p>
        </w:tc>
      </w:tr>
      <w:tr w:rsidR="00935858" w:rsidRPr="003C5020" w:rsidTr="00935858">
        <w:tc>
          <w:tcPr>
            <w:tcW w:w="4927" w:type="dxa"/>
          </w:tcPr>
          <w:p w:rsidR="00935858" w:rsidRDefault="00935858" w:rsidP="00935858">
            <w:pPr>
              <w:jc w:val="center"/>
            </w:pPr>
            <w:r>
              <w:t>14.25</w:t>
            </w:r>
            <w:r w:rsidRPr="003C5020">
              <w:t xml:space="preserve"> ≤ </w:t>
            </w:r>
            <w:r w:rsidRPr="003C5020">
              <w:rPr>
                <w:i/>
              </w:rPr>
              <w:t>S</w:t>
            </w:r>
            <w:r w:rsidRPr="003C5020">
              <w:t xml:space="preserve"> &lt; 1</w:t>
            </w:r>
            <w:r>
              <w:t>5.5</w:t>
            </w:r>
          </w:p>
        </w:tc>
        <w:tc>
          <w:tcPr>
            <w:tcW w:w="4928" w:type="dxa"/>
          </w:tcPr>
          <w:p w:rsidR="00935858" w:rsidRDefault="00935858" w:rsidP="00935858">
            <w:pPr>
              <w:jc w:val="center"/>
            </w:pPr>
            <w:r>
              <w:t>176.25</w:t>
            </w:r>
          </w:p>
        </w:tc>
      </w:tr>
      <w:tr w:rsidR="00935858" w:rsidRPr="003C5020" w:rsidTr="00935858">
        <w:tc>
          <w:tcPr>
            <w:tcW w:w="4927" w:type="dxa"/>
          </w:tcPr>
          <w:p w:rsidR="00935858" w:rsidRDefault="00935858" w:rsidP="00935858">
            <w:pPr>
              <w:jc w:val="center"/>
            </w:pPr>
            <w:r>
              <w:t>15.5</w:t>
            </w:r>
            <w:r w:rsidRPr="003C5020">
              <w:t xml:space="preserve"> ≤ </w:t>
            </w:r>
            <w:r w:rsidRPr="003C5020">
              <w:rPr>
                <w:i/>
              </w:rPr>
              <w:t>S</w:t>
            </w:r>
            <w:r>
              <w:t xml:space="preserve"> &lt; 25.448</w:t>
            </w:r>
          </w:p>
        </w:tc>
        <w:tc>
          <w:tcPr>
            <w:tcW w:w="4928" w:type="dxa"/>
          </w:tcPr>
          <w:p w:rsidR="00935858" w:rsidRDefault="00935858" w:rsidP="00935858">
            <w:pPr>
              <w:jc w:val="center"/>
            </w:pPr>
            <w:r>
              <w:t>110</w:t>
            </w:r>
            <w:r w:rsidRPr="003C5020">
              <w:t xml:space="preserve"> + </w:t>
            </w:r>
            <w:r>
              <w:t>269.2</w:t>
            </w:r>
            <w:r w:rsidRPr="003C5020">
              <w:rPr>
                <w:i/>
              </w:rPr>
              <w:t xml:space="preserve"> e</w:t>
            </w:r>
            <w:r w:rsidRPr="003C5020">
              <w:rPr>
                <w:vertAlign w:val="superscript"/>
              </w:rPr>
              <w:t xml:space="preserve"> –2π(0.05)(</w:t>
            </w:r>
            <w:r w:rsidRPr="003C5020">
              <w:rPr>
                <w:i/>
                <w:vertAlign w:val="superscript"/>
              </w:rPr>
              <w:t>S</w:t>
            </w:r>
            <w:r w:rsidRPr="003C5020">
              <w:rPr>
                <w:vertAlign w:val="superscript"/>
              </w:rPr>
              <w:t xml:space="preserve"> – </w:t>
            </w:r>
            <w:r>
              <w:rPr>
                <w:vertAlign w:val="superscript"/>
              </w:rPr>
              <w:t>2.4</w:t>
            </w:r>
            <w:r w:rsidRPr="003C5020">
              <w:rPr>
                <w:vertAlign w:val="superscript"/>
              </w:rPr>
              <w:t>)</w:t>
            </w:r>
          </w:p>
        </w:tc>
      </w:tr>
      <w:tr w:rsidR="00935858" w:rsidRPr="003C5020" w:rsidTr="00935858">
        <w:tc>
          <w:tcPr>
            <w:tcW w:w="4927" w:type="dxa"/>
          </w:tcPr>
          <w:p w:rsidR="00935858" w:rsidRPr="003C5020" w:rsidRDefault="00935858" w:rsidP="00935858">
            <w:pPr>
              <w:jc w:val="center"/>
            </w:pPr>
            <w:r>
              <w:t>25.448</w:t>
            </w:r>
            <w:r w:rsidRPr="003C5020">
              <w:t xml:space="preserve"> ≤ </w:t>
            </w:r>
            <w:r w:rsidRPr="003C5020">
              <w:rPr>
                <w:i/>
              </w:rPr>
              <w:t>S</w:t>
            </w:r>
            <w:r>
              <w:t xml:space="preserve"> </w:t>
            </w:r>
            <w:r w:rsidRPr="003C5020">
              <w:t>≤</w:t>
            </w:r>
            <w:r>
              <w:t xml:space="preserve"> 50</w:t>
            </w:r>
          </w:p>
        </w:tc>
        <w:tc>
          <w:tcPr>
            <w:tcW w:w="4928" w:type="dxa"/>
          </w:tcPr>
          <w:p w:rsidR="00935858" w:rsidRPr="003C5020" w:rsidRDefault="00935858" w:rsidP="00935858">
            <w:pPr>
              <w:jc w:val="center"/>
              <w:rPr>
                <w:vertAlign w:val="superscript"/>
              </w:rPr>
            </w:pPr>
            <w:r>
              <w:t>50</w:t>
            </w:r>
            <w:r w:rsidRPr="003C5020">
              <w:t xml:space="preserve"> + 60</w:t>
            </w:r>
            <w:r>
              <w:t>.193</w:t>
            </w:r>
            <w:r w:rsidRPr="003C5020">
              <w:rPr>
                <w:i/>
              </w:rPr>
              <w:t xml:space="preserve"> e</w:t>
            </w:r>
            <w:r w:rsidRPr="003C5020">
              <w:rPr>
                <w:vertAlign w:val="superscript"/>
              </w:rPr>
              <w:t xml:space="preserve"> –2π(0.05)(</w:t>
            </w:r>
            <w:r w:rsidRPr="003C5020">
              <w:rPr>
                <w:i/>
                <w:vertAlign w:val="superscript"/>
              </w:rPr>
              <w:t>S</w:t>
            </w:r>
            <w:r w:rsidRPr="003C5020">
              <w:rPr>
                <w:vertAlign w:val="superscript"/>
              </w:rPr>
              <w:t xml:space="preserve"> – 25</w:t>
            </w:r>
            <w:r>
              <w:rPr>
                <w:vertAlign w:val="superscript"/>
              </w:rPr>
              <w:t>.448</w:t>
            </w:r>
            <w:r w:rsidRPr="003C5020">
              <w:rPr>
                <w:vertAlign w:val="superscript"/>
              </w:rPr>
              <w:t>)</w:t>
            </w:r>
          </w:p>
        </w:tc>
      </w:tr>
    </w:tbl>
    <w:p w:rsidR="00935858" w:rsidRDefault="00935858" w:rsidP="00935858"/>
    <w:p w:rsidR="00935858" w:rsidRPr="007B2442" w:rsidRDefault="00935858" w:rsidP="00935858">
      <w:r>
        <w:t>Second, the portion of the mask in the third region, which extends from 0.5 s to 2.4 s, may be extended into the first two regions (0 to 0.5 s). This will increase the mask in the first two regions. However, note that the mask already increases rapidly during the first 0.5 s, and that 170 ns of the increase occurs over the first 0.016 s</w:t>
      </w:r>
      <w:r w:rsidRPr="00C854E5">
        <w:rPr>
          <w:b/>
        </w:rPr>
        <w:t xml:space="preserve">. </w:t>
      </w:r>
      <w:r>
        <w:t>Third, values are rounded up to at most three significant figures. Fourth, the second to last region, which extends from 15.5 s to 25.448 s, is replaced by the maximum value of the mask in this region, i.e., 115 ns after the rounding up described above. This may be done because the total decay in the value of the mask in this region is less than 5 ns. The final result</w:t>
      </w:r>
      <w:r w:rsidRPr="003C5020">
        <w:t xml:space="preserve"> is given by the mask of Figure </w:t>
      </w:r>
      <w:r>
        <w:t>B.1</w:t>
      </w:r>
      <w:r w:rsidRPr="003C5020">
        <w:t xml:space="preserve"> and Table </w:t>
      </w:r>
      <w:r>
        <w:t>B.1 of Annex B of this document.”</w:t>
      </w:r>
    </w:p>
    <w:p w:rsidR="001B2BF1" w:rsidRDefault="001B2BF1" w:rsidP="001B2BF1">
      <w:pPr>
        <w:pStyle w:val="Heading1"/>
      </w:pPr>
      <w:r>
        <w:t>Appendices IV and V</w:t>
      </w:r>
    </w:p>
    <w:p w:rsidR="001B2BF1" w:rsidRPr="001B2BF1" w:rsidRDefault="001B2BF1" w:rsidP="001B2BF1">
      <w:r>
        <w:t>Remove Appendices IV and V.</w:t>
      </w:r>
    </w:p>
    <w:p w:rsidR="006E4D99" w:rsidRDefault="006E4D99" w:rsidP="00306DA6">
      <w:pPr>
        <w:jc w:val="center"/>
      </w:pPr>
      <w:bookmarkStart w:id="24" w:name="_Toc330555298"/>
      <w:bookmarkStart w:id="25" w:name="_Toc96364779"/>
      <w:r>
        <w:rPr>
          <w:b/>
          <w:bCs/>
        </w:rPr>
        <w:t>______________</w:t>
      </w:r>
      <w:bookmarkEnd w:id="11"/>
      <w:bookmarkEnd w:id="24"/>
      <w:bookmarkEnd w:id="25"/>
    </w:p>
    <w:sectPr w:rsidR="006E4D99" w:rsidSect="000D1C5B">
      <w:headerReference w:type="default" r:id="rId13"/>
      <w:footerReference w:type="first" r:id="rId14"/>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406" w:rsidRDefault="00130406">
      <w:r>
        <w:separator/>
      </w:r>
    </w:p>
  </w:endnote>
  <w:endnote w:type="continuationSeparator" w:id="0">
    <w:p w:rsidR="00130406" w:rsidRDefault="00130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174D9" w:rsidRPr="000D1C5B" w:rsidTr="000D1C5B">
      <w:trPr>
        <w:cantSplit/>
        <w:trHeight w:val="204"/>
        <w:jc w:val="center"/>
      </w:trPr>
      <w:tc>
        <w:tcPr>
          <w:tcW w:w="1617" w:type="dxa"/>
          <w:tcBorders>
            <w:top w:val="single" w:sz="12" w:space="0" w:color="auto"/>
          </w:tcBorders>
        </w:tcPr>
        <w:p w:rsidR="009174D9" w:rsidRPr="000D1C5B" w:rsidRDefault="009174D9" w:rsidP="000D1C5B">
          <w:pPr>
            <w:rPr>
              <w:b/>
              <w:sz w:val="22"/>
            </w:rPr>
          </w:pPr>
          <w:bookmarkStart w:id="26" w:name="dcontent1" w:colFirst="1" w:colLast="1"/>
          <w:r w:rsidRPr="000D1C5B">
            <w:rPr>
              <w:b/>
              <w:bCs/>
              <w:sz w:val="22"/>
            </w:rPr>
            <w:t>Contact:</w:t>
          </w:r>
        </w:p>
      </w:tc>
      <w:tc>
        <w:tcPr>
          <w:tcW w:w="4394" w:type="dxa"/>
          <w:tcBorders>
            <w:top w:val="single" w:sz="12" w:space="0" w:color="auto"/>
          </w:tcBorders>
        </w:tcPr>
        <w:p w:rsidR="009174D9" w:rsidRPr="000D1C5B" w:rsidRDefault="009174D9" w:rsidP="000D1C5B">
          <w:pPr>
            <w:rPr>
              <w:sz w:val="22"/>
            </w:rPr>
          </w:pPr>
          <w:r w:rsidRPr="000D1C5B">
            <w:rPr>
              <w:sz w:val="22"/>
            </w:rPr>
            <w:t>Silvana Rodrigues</w:t>
          </w:r>
        </w:p>
        <w:p w:rsidR="009174D9" w:rsidRPr="000D1C5B" w:rsidRDefault="009174D9" w:rsidP="000D1C5B">
          <w:pPr>
            <w:spacing w:before="0"/>
            <w:rPr>
              <w:sz w:val="22"/>
            </w:rPr>
          </w:pPr>
          <w:r w:rsidRPr="000D1C5B">
            <w:rPr>
              <w:sz w:val="22"/>
            </w:rPr>
            <w:t>IDT</w:t>
          </w:r>
        </w:p>
        <w:p w:rsidR="009174D9" w:rsidRPr="000D1C5B" w:rsidRDefault="009174D9" w:rsidP="000D1C5B">
          <w:pPr>
            <w:spacing w:before="0"/>
            <w:rPr>
              <w:sz w:val="22"/>
            </w:rPr>
          </w:pPr>
          <w:r w:rsidRPr="000D1C5B">
            <w:rPr>
              <w:sz w:val="22"/>
            </w:rPr>
            <w:t>Canada</w:t>
          </w:r>
        </w:p>
      </w:tc>
      <w:tc>
        <w:tcPr>
          <w:tcW w:w="3912" w:type="dxa"/>
          <w:tcBorders>
            <w:top w:val="single" w:sz="12" w:space="0" w:color="auto"/>
          </w:tcBorders>
        </w:tcPr>
        <w:p w:rsidR="009174D9" w:rsidRPr="000D1C5B" w:rsidRDefault="009174D9" w:rsidP="000D1C5B">
          <w:pPr>
            <w:rPr>
              <w:sz w:val="22"/>
            </w:rPr>
          </w:pPr>
          <w:r w:rsidRPr="000D1C5B">
            <w:rPr>
              <w:sz w:val="22"/>
            </w:rPr>
            <w:t>Tel: +1 613 592 0714, ext. 1924</w:t>
          </w:r>
        </w:p>
        <w:p w:rsidR="009174D9" w:rsidRPr="000D1C5B" w:rsidRDefault="009174D9" w:rsidP="000D1C5B">
          <w:pPr>
            <w:spacing w:before="0"/>
            <w:rPr>
              <w:sz w:val="22"/>
            </w:rPr>
          </w:pPr>
          <w:r w:rsidRPr="000D1C5B">
            <w:rPr>
              <w:sz w:val="22"/>
            </w:rPr>
            <w:t>Fax: +1 613 592 1320</w:t>
          </w:r>
        </w:p>
        <w:p w:rsidR="009174D9" w:rsidRPr="000D1C5B" w:rsidRDefault="009174D9" w:rsidP="000D1C5B">
          <w:pPr>
            <w:spacing w:before="0"/>
            <w:rPr>
              <w:sz w:val="22"/>
            </w:rPr>
          </w:pPr>
          <w:r w:rsidRPr="000D1C5B">
            <w:rPr>
              <w:sz w:val="22"/>
            </w:rPr>
            <w:t xml:space="preserve">Email: </w:t>
          </w:r>
          <w:hyperlink r:id="rId1" w:history="1">
            <w:r w:rsidRPr="002E6BDF">
              <w:rPr>
                <w:rStyle w:val="Hyperlink"/>
                <w:sz w:val="22"/>
              </w:rPr>
              <w:t>silvana.rodrigues@idt.com</w:t>
            </w:r>
          </w:hyperlink>
          <w:r>
            <w:rPr>
              <w:sz w:val="22"/>
            </w:rPr>
            <w:t xml:space="preserve"> </w:t>
          </w:r>
        </w:p>
      </w:tc>
    </w:tr>
    <w:bookmarkEnd w:id="26"/>
    <w:tr w:rsidR="009174D9" w:rsidRPr="000D1C5B" w:rsidTr="000D1C5B">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9174D9" w:rsidRPr="000D1C5B" w:rsidRDefault="009174D9" w:rsidP="000D1C5B">
          <w:pPr>
            <w:spacing w:before="0"/>
            <w:rPr>
              <w:sz w:val="18"/>
            </w:rPr>
          </w:pPr>
          <w:r w:rsidRPr="000D1C5B">
            <w:rPr>
              <w:b/>
              <w:bCs/>
              <w:sz w:val="18"/>
            </w:rPr>
            <w:t>Attention:</w:t>
          </w:r>
          <w:r w:rsidRPr="000D1C5B">
            <w:rPr>
              <w:sz w:val="18"/>
            </w:rPr>
            <w:t xml:space="preserve"> This is not a publication made available to the public, but </w:t>
          </w:r>
          <w:r w:rsidRPr="000D1C5B">
            <w:rPr>
              <w:b/>
              <w:bCs/>
              <w:sz w:val="18"/>
            </w:rPr>
            <w:t>an internal ITU-T Document</w:t>
          </w:r>
          <w:r w:rsidRPr="000D1C5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9174D9" w:rsidRPr="000D1C5B" w:rsidRDefault="009174D9" w:rsidP="000D1C5B">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406" w:rsidRDefault="00130406">
      <w:r>
        <w:separator/>
      </w:r>
    </w:p>
  </w:footnote>
  <w:footnote w:type="continuationSeparator" w:id="0">
    <w:p w:rsidR="00130406" w:rsidRDefault="00130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4D9" w:rsidRPr="000D1C5B" w:rsidRDefault="009174D9" w:rsidP="000D1C5B">
    <w:pPr>
      <w:pStyle w:val="Header"/>
    </w:pPr>
    <w:r w:rsidRPr="000D1C5B">
      <w:t xml:space="preserve">- </w:t>
    </w:r>
    <w:r w:rsidR="00EC2190">
      <w:fldChar w:fldCharType="begin"/>
    </w:r>
    <w:r w:rsidR="00EC2190">
      <w:instrText xml:space="preserve"> PAGE  \* MERGEFORMAT </w:instrText>
    </w:r>
    <w:r w:rsidR="00EC2190">
      <w:fldChar w:fldCharType="separate"/>
    </w:r>
    <w:r w:rsidR="00E71402">
      <w:rPr>
        <w:noProof/>
      </w:rPr>
      <w:t>20</w:t>
    </w:r>
    <w:r w:rsidR="00EC2190">
      <w:rPr>
        <w:noProof/>
      </w:rPr>
      <w:fldChar w:fldCharType="end"/>
    </w:r>
    <w:r w:rsidRPr="000D1C5B">
      <w:t xml:space="preserve"> -</w:t>
    </w:r>
  </w:p>
  <w:p w:rsidR="009174D9" w:rsidRPr="000D1C5B" w:rsidRDefault="00EC2190" w:rsidP="000D1C5B">
    <w:pPr>
      <w:pStyle w:val="Header"/>
      <w:spacing w:after="240"/>
    </w:pPr>
    <w:r>
      <w:fldChar w:fldCharType="begin"/>
    </w:r>
    <w:r>
      <w:instrText xml:space="preserve"> STYLEREF  Docnumber  </w:instrText>
    </w:r>
    <w:r>
      <w:fldChar w:fldCharType="separate"/>
    </w:r>
    <w:r w:rsidR="00E71402">
      <w:rPr>
        <w:noProof/>
      </w:rPr>
      <w:t>TD 411 Rev.1 (PLEN/15)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3D49D0C"/>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484731D"/>
    <w:multiLevelType w:val="multilevel"/>
    <w:tmpl w:val="5BF8BE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4D04BBD"/>
    <w:multiLevelType w:val="hybridMultilevel"/>
    <w:tmpl w:val="B0BEF632"/>
    <w:lvl w:ilvl="0" w:tplc="04090005">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5FF39EF"/>
    <w:multiLevelType w:val="hybridMultilevel"/>
    <w:tmpl w:val="8C6A2740"/>
    <w:lvl w:ilvl="0" w:tplc="0409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0B8C330B"/>
    <w:multiLevelType w:val="hybridMultilevel"/>
    <w:tmpl w:val="B74ED6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C68C3"/>
    <w:multiLevelType w:val="singleLevel"/>
    <w:tmpl w:val="8F868342"/>
    <w:lvl w:ilvl="0">
      <w:start w:val="1"/>
      <w:numFmt w:val="lowerLetter"/>
      <w:lvlText w:val="%1."/>
      <w:lvlJc w:val="left"/>
      <w:pPr>
        <w:tabs>
          <w:tab w:val="num" w:pos="360"/>
        </w:tabs>
        <w:ind w:left="360" w:hanging="360"/>
      </w:pPr>
      <w:rPr>
        <w:rFonts w:hint="default"/>
      </w:rPr>
    </w:lvl>
  </w:abstractNum>
  <w:abstractNum w:abstractNumId="7" w15:restartNumberingAfterBreak="0">
    <w:nsid w:val="101B09CA"/>
    <w:multiLevelType w:val="multilevel"/>
    <w:tmpl w:val="4F6066A2"/>
    <w:lvl w:ilvl="0">
      <w:start w:val="1"/>
      <w:numFmt w:val="decimal"/>
      <w:lvlText w:val="%1."/>
      <w:lvlJc w:val="left"/>
      <w:pPr>
        <w:tabs>
          <w:tab w:val="num" w:pos="432"/>
        </w:tabs>
        <w:ind w:left="432" w:hanging="432"/>
      </w:pPr>
      <w:rPr>
        <w:rFonts w:hint="default"/>
      </w:rPr>
    </w:lvl>
    <w:lvl w:ilvl="1">
      <w:start w:val="1"/>
      <w:numFmt w:val="decimal"/>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52E2BA4"/>
    <w:multiLevelType w:val="hybridMultilevel"/>
    <w:tmpl w:val="DF8EE4C2"/>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824641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446BAD"/>
    <w:multiLevelType w:val="singleLevel"/>
    <w:tmpl w:val="3A3C9F50"/>
    <w:lvl w:ilvl="0">
      <w:start w:val="1"/>
      <w:numFmt w:val="decimal"/>
      <w:lvlText w:val="%1."/>
      <w:lvlJc w:val="left"/>
      <w:pPr>
        <w:tabs>
          <w:tab w:val="num" w:pos="360"/>
        </w:tabs>
        <w:ind w:left="360" w:hanging="360"/>
      </w:pPr>
      <w:rPr>
        <w:rFonts w:hint="default"/>
      </w:rPr>
    </w:lvl>
  </w:abstractNum>
  <w:abstractNum w:abstractNumId="11" w15:restartNumberingAfterBreak="0">
    <w:nsid w:val="1B682C48"/>
    <w:multiLevelType w:val="hybridMultilevel"/>
    <w:tmpl w:val="751A0A8A"/>
    <w:lvl w:ilvl="0" w:tplc="5322BB92">
      <w:start w:val="1"/>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8B6080"/>
    <w:multiLevelType w:val="hybridMultilevel"/>
    <w:tmpl w:val="33989E62"/>
    <w:lvl w:ilvl="0" w:tplc="0409000D">
      <w:start w:val="1"/>
      <w:numFmt w:val="bullet"/>
      <w:lvlText w:val=""/>
      <w:lvlJc w:val="left"/>
      <w:pPr>
        <w:tabs>
          <w:tab w:val="num" w:pos="1494"/>
        </w:tabs>
        <w:ind w:left="1494" w:hanging="360"/>
      </w:pPr>
      <w:rPr>
        <w:rFonts w:ascii="Wingdings" w:hAnsi="Wingding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1FF060B4"/>
    <w:multiLevelType w:val="singleLevel"/>
    <w:tmpl w:val="F5C63082"/>
    <w:lvl w:ilvl="0">
      <w:start w:val="1"/>
      <w:numFmt w:val="decimal"/>
      <w:pStyle w:val="ListBullet-noindent"/>
      <w:lvlText w:val="%1."/>
      <w:lvlJc w:val="left"/>
      <w:pPr>
        <w:tabs>
          <w:tab w:val="num" w:pos="360"/>
        </w:tabs>
        <w:ind w:left="360" w:hanging="360"/>
      </w:pPr>
    </w:lvl>
  </w:abstractNum>
  <w:abstractNum w:abstractNumId="14" w15:restartNumberingAfterBreak="0">
    <w:nsid w:val="22124EB8"/>
    <w:multiLevelType w:val="hybridMultilevel"/>
    <w:tmpl w:val="FC76CA78"/>
    <w:lvl w:ilvl="0" w:tplc="088061D8">
      <w:start w:val="1"/>
      <w:numFmt w:val="decimal"/>
      <w:lvlText w:val="%1."/>
      <w:lvlJc w:val="left"/>
      <w:pPr>
        <w:ind w:left="927" w:hanging="360"/>
      </w:pPr>
      <w:rPr>
        <w:rFonts w:hint="default"/>
      </w:rPr>
    </w:lvl>
    <w:lvl w:ilvl="1" w:tplc="08090001">
      <w:start w:val="1"/>
      <w:numFmt w:val="bullet"/>
      <w:lvlText w:val=""/>
      <w:lvlJc w:val="left"/>
      <w:pPr>
        <w:ind w:left="1647" w:hanging="360"/>
      </w:pPr>
      <w:rPr>
        <w:rFonts w:ascii="Symbol" w:hAnsi="Symbol"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5B1342A"/>
    <w:multiLevelType w:val="hybridMultilevel"/>
    <w:tmpl w:val="E3AE1FBC"/>
    <w:lvl w:ilvl="0" w:tplc="704EF244">
      <w:start w:val="1"/>
      <w:numFmt w:val="bullet"/>
      <w:lvlText w:val=""/>
      <w:lvlJc w:val="left"/>
      <w:pPr>
        <w:tabs>
          <w:tab w:val="num" w:pos="1154"/>
        </w:tabs>
        <w:ind w:left="1154" w:hanging="360"/>
      </w:pPr>
      <w:rPr>
        <w:rFonts w:ascii="Symbol" w:hAnsi="Symbol" w:hint="default"/>
        <w:color w:val="auto"/>
      </w:rPr>
    </w:lvl>
    <w:lvl w:ilvl="1" w:tplc="04090003">
      <w:start w:val="1"/>
      <w:numFmt w:val="bullet"/>
      <w:lvlText w:val="o"/>
      <w:lvlJc w:val="left"/>
      <w:pPr>
        <w:tabs>
          <w:tab w:val="num" w:pos="-678"/>
        </w:tabs>
        <w:ind w:left="-678" w:hanging="360"/>
      </w:pPr>
      <w:rPr>
        <w:rFonts w:ascii="Courier New" w:hAnsi="Courier New" w:hint="default"/>
      </w:rPr>
    </w:lvl>
    <w:lvl w:ilvl="2" w:tplc="04090005" w:tentative="1">
      <w:start w:val="1"/>
      <w:numFmt w:val="bullet"/>
      <w:lvlText w:val=""/>
      <w:lvlJc w:val="left"/>
      <w:pPr>
        <w:tabs>
          <w:tab w:val="num" w:pos="42"/>
        </w:tabs>
        <w:ind w:left="42" w:hanging="360"/>
      </w:pPr>
      <w:rPr>
        <w:rFonts w:ascii="Wingdings" w:hAnsi="Wingdings" w:hint="default"/>
      </w:rPr>
    </w:lvl>
    <w:lvl w:ilvl="3" w:tplc="04090001" w:tentative="1">
      <w:start w:val="1"/>
      <w:numFmt w:val="bullet"/>
      <w:lvlText w:val=""/>
      <w:lvlJc w:val="left"/>
      <w:pPr>
        <w:tabs>
          <w:tab w:val="num" w:pos="762"/>
        </w:tabs>
        <w:ind w:left="762" w:hanging="360"/>
      </w:pPr>
      <w:rPr>
        <w:rFonts w:ascii="Symbol" w:hAnsi="Symbol" w:hint="default"/>
      </w:rPr>
    </w:lvl>
    <w:lvl w:ilvl="4" w:tplc="04090003" w:tentative="1">
      <w:start w:val="1"/>
      <w:numFmt w:val="bullet"/>
      <w:lvlText w:val="o"/>
      <w:lvlJc w:val="left"/>
      <w:pPr>
        <w:tabs>
          <w:tab w:val="num" w:pos="1482"/>
        </w:tabs>
        <w:ind w:left="1482" w:hanging="360"/>
      </w:pPr>
      <w:rPr>
        <w:rFonts w:ascii="Courier New" w:hAnsi="Courier New" w:hint="default"/>
      </w:rPr>
    </w:lvl>
    <w:lvl w:ilvl="5" w:tplc="04090005" w:tentative="1">
      <w:start w:val="1"/>
      <w:numFmt w:val="bullet"/>
      <w:lvlText w:val=""/>
      <w:lvlJc w:val="left"/>
      <w:pPr>
        <w:tabs>
          <w:tab w:val="num" w:pos="2202"/>
        </w:tabs>
        <w:ind w:left="2202" w:hanging="360"/>
      </w:pPr>
      <w:rPr>
        <w:rFonts w:ascii="Wingdings" w:hAnsi="Wingdings" w:hint="default"/>
      </w:rPr>
    </w:lvl>
    <w:lvl w:ilvl="6" w:tplc="04090001" w:tentative="1">
      <w:start w:val="1"/>
      <w:numFmt w:val="bullet"/>
      <w:lvlText w:val=""/>
      <w:lvlJc w:val="left"/>
      <w:pPr>
        <w:tabs>
          <w:tab w:val="num" w:pos="2922"/>
        </w:tabs>
        <w:ind w:left="2922" w:hanging="360"/>
      </w:pPr>
      <w:rPr>
        <w:rFonts w:ascii="Symbol" w:hAnsi="Symbol" w:hint="default"/>
      </w:rPr>
    </w:lvl>
    <w:lvl w:ilvl="7" w:tplc="04090003" w:tentative="1">
      <w:start w:val="1"/>
      <w:numFmt w:val="bullet"/>
      <w:lvlText w:val="o"/>
      <w:lvlJc w:val="left"/>
      <w:pPr>
        <w:tabs>
          <w:tab w:val="num" w:pos="3642"/>
        </w:tabs>
        <w:ind w:left="3642" w:hanging="360"/>
      </w:pPr>
      <w:rPr>
        <w:rFonts w:ascii="Courier New" w:hAnsi="Courier New" w:hint="default"/>
      </w:rPr>
    </w:lvl>
    <w:lvl w:ilvl="8" w:tplc="04090005" w:tentative="1">
      <w:start w:val="1"/>
      <w:numFmt w:val="bullet"/>
      <w:lvlText w:val=""/>
      <w:lvlJc w:val="left"/>
      <w:pPr>
        <w:tabs>
          <w:tab w:val="num" w:pos="4362"/>
        </w:tabs>
        <w:ind w:left="4362" w:hanging="360"/>
      </w:pPr>
      <w:rPr>
        <w:rFonts w:ascii="Wingdings" w:hAnsi="Wingdings" w:hint="default"/>
      </w:rPr>
    </w:lvl>
  </w:abstractNum>
  <w:abstractNum w:abstractNumId="16" w15:restartNumberingAfterBreak="0">
    <w:nsid w:val="2B534DBD"/>
    <w:multiLevelType w:val="hybridMultilevel"/>
    <w:tmpl w:val="19262F26"/>
    <w:lvl w:ilvl="0" w:tplc="49B88D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547099"/>
    <w:multiLevelType w:val="hybridMultilevel"/>
    <w:tmpl w:val="EDC05E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D136A85"/>
    <w:multiLevelType w:val="hybridMultilevel"/>
    <w:tmpl w:val="89C4A474"/>
    <w:lvl w:ilvl="0" w:tplc="16A40C34">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207"/>
        </w:tabs>
        <w:ind w:left="207" w:hanging="360"/>
      </w:pPr>
      <w:rPr>
        <w:rFonts w:ascii="Courier New" w:hAnsi="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9" w15:restartNumberingAfterBreak="0">
    <w:nsid w:val="2EA646E2"/>
    <w:multiLevelType w:val="hybridMultilevel"/>
    <w:tmpl w:val="33989E62"/>
    <w:lvl w:ilvl="0" w:tplc="0409000D">
      <w:start w:val="1"/>
      <w:numFmt w:val="bullet"/>
      <w:lvlText w:val=""/>
      <w:lvlJc w:val="left"/>
      <w:pPr>
        <w:tabs>
          <w:tab w:val="num" w:pos="1494"/>
        </w:tabs>
        <w:ind w:left="1494" w:hanging="360"/>
      </w:pPr>
      <w:rPr>
        <w:rFonts w:ascii="Wingdings" w:hAnsi="Wingding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20" w15:restartNumberingAfterBreak="0">
    <w:nsid w:val="2FBE5847"/>
    <w:multiLevelType w:val="hybridMultilevel"/>
    <w:tmpl w:val="CA6625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225FB4"/>
    <w:multiLevelType w:val="hybridMultilevel"/>
    <w:tmpl w:val="8ED4080A"/>
    <w:lvl w:ilvl="0" w:tplc="0409000D">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3D0B17B2"/>
    <w:multiLevelType w:val="hybridMultilevel"/>
    <w:tmpl w:val="9B187A38"/>
    <w:lvl w:ilvl="0" w:tplc="16A40C34">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207"/>
        </w:tabs>
        <w:ind w:left="207" w:hanging="360"/>
      </w:pPr>
      <w:rPr>
        <w:rFonts w:ascii="Courier New" w:hAnsi="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23" w15:restartNumberingAfterBreak="0">
    <w:nsid w:val="3F5A1FF1"/>
    <w:multiLevelType w:val="hybridMultilevel"/>
    <w:tmpl w:val="B0BEF632"/>
    <w:lvl w:ilvl="0" w:tplc="04090005">
      <w:start w:val="1"/>
      <w:numFmt w:val="bullet"/>
      <w:lvlText w:val=""/>
      <w:lvlJc w:val="left"/>
      <w:pPr>
        <w:tabs>
          <w:tab w:val="num" w:pos="927"/>
        </w:tabs>
        <w:ind w:left="927" w:hanging="360"/>
      </w:pPr>
      <w:rPr>
        <w:rFonts w:ascii="Wingdings" w:hAnsi="Wingdings" w:hint="default"/>
      </w:rPr>
    </w:lvl>
    <w:lvl w:ilvl="1" w:tplc="8E68C81A">
      <w:numFmt w:val="bullet"/>
      <w:lvlText w:val="-"/>
      <w:lvlJc w:val="left"/>
      <w:pPr>
        <w:tabs>
          <w:tab w:val="num" w:pos="1647"/>
        </w:tabs>
        <w:ind w:left="1647" w:hanging="360"/>
      </w:pPr>
      <w:rPr>
        <w:rFonts w:ascii="Times New Roman" w:eastAsia="Times New Roman" w:hAnsi="Times New Roman" w:cs="Times New Roman" w:hint="default"/>
      </w:rPr>
    </w:lvl>
    <w:lvl w:ilvl="2" w:tplc="8E68C81A">
      <w:numFmt w:val="bullet"/>
      <w:lvlText w:val="-"/>
      <w:lvlJc w:val="left"/>
      <w:pPr>
        <w:tabs>
          <w:tab w:val="num" w:pos="2367"/>
        </w:tabs>
        <w:ind w:left="2367" w:hanging="360"/>
      </w:pPr>
      <w:rPr>
        <w:rFonts w:ascii="Times New Roman" w:eastAsia="Times New Roman" w:hAnsi="Times New Roman" w:cs="Times New Roman"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40F37249"/>
    <w:multiLevelType w:val="hybridMultilevel"/>
    <w:tmpl w:val="54E41E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905694"/>
    <w:multiLevelType w:val="hybridMultilevel"/>
    <w:tmpl w:val="33989E62"/>
    <w:lvl w:ilvl="0" w:tplc="AF7A915E">
      <w:start w:val="1"/>
      <w:numFmt w:val="bullet"/>
      <w:lvlText w:val=""/>
      <w:lvlJc w:val="left"/>
      <w:pPr>
        <w:tabs>
          <w:tab w:val="num" w:pos="1494"/>
        </w:tabs>
        <w:ind w:left="1494" w:hanging="360"/>
      </w:pPr>
      <w:rPr>
        <w:rFonts w:ascii="Wingdings" w:hAnsi="Wingdings" w:hint="default"/>
      </w:rPr>
    </w:lvl>
    <w:lvl w:ilvl="1" w:tplc="531229E0">
      <w:start w:val="1"/>
      <w:numFmt w:val="bullet"/>
      <w:lvlText w:val="o"/>
      <w:lvlJc w:val="left"/>
      <w:pPr>
        <w:tabs>
          <w:tab w:val="num" w:pos="2214"/>
        </w:tabs>
        <w:ind w:left="2214" w:hanging="360"/>
      </w:pPr>
      <w:rPr>
        <w:rFonts w:ascii="Courier New" w:hAnsi="Courier New" w:hint="default"/>
      </w:rPr>
    </w:lvl>
    <w:lvl w:ilvl="2" w:tplc="E65AB736" w:tentative="1">
      <w:start w:val="1"/>
      <w:numFmt w:val="bullet"/>
      <w:lvlText w:val=""/>
      <w:lvlJc w:val="left"/>
      <w:pPr>
        <w:tabs>
          <w:tab w:val="num" w:pos="2934"/>
        </w:tabs>
        <w:ind w:left="2934" w:hanging="360"/>
      </w:pPr>
      <w:rPr>
        <w:rFonts w:ascii="Wingdings" w:hAnsi="Wingdings" w:hint="default"/>
      </w:rPr>
    </w:lvl>
    <w:lvl w:ilvl="3" w:tplc="176864C4" w:tentative="1">
      <w:start w:val="1"/>
      <w:numFmt w:val="bullet"/>
      <w:lvlText w:val=""/>
      <w:lvlJc w:val="left"/>
      <w:pPr>
        <w:tabs>
          <w:tab w:val="num" w:pos="3654"/>
        </w:tabs>
        <w:ind w:left="3654" w:hanging="360"/>
      </w:pPr>
      <w:rPr>
        <w:rFonts w:ascii="Symbol" w:hAnsi="Symbol" w:hint="default"/>
      </w:rPr>
    </w:lvl>
    <w:lvl w:ilvl="4" w:tplc="35B4B652" w:tentative="1">
      <w:start w:val="1"/>
      <w:numFmt w:val="bullet"/>
      <w:lvlText w:val="o"/>
      <w:lvlJc w:val="left"/>
      <w:pPr>
        <w:tabs>
          <w:tab w:val="num" w:pos="4374"/>
        </w:tabs>
        <w:ind w:left="4374" w:hanging="360"/>
      </w:pPr>
      <w:rPr>
        <w:rFonts w:ascii="Courier New" w:hAnsi="Courier New" w:hint="default"/>
      </w:rPr>
    </w:lvl>
    <w:lvl w:ilvl="5" w:tplc="0060D85A" w:tentative="1">
      <w:start w:val="1"/>
      <w:numFmt w:val="bullet"/>
      <w:lvlText w:val=""/>
      <w:lvlJc w:val="left"/>
      <w:pPr>
        <w:tabs>
          <w:tab w:val="num" w:pos="5094"/>
        </w:tabs>
        <w:ind w:left="5094" w:hanging="360"/>
      </w:pPr>
      <w:rPr>
        <w:rFonts w:ascii="Wingdings" w:hAnsi="Wingdings" w:hint="default"/>
      </w:rPr>
    </w:lvl>
    <w:lvl w:ilvl="6" w:tplc="B420CF2C" w:tentative="1">
      <w:start w:val="1"/>
      <w:numFmt w:val="bullet"/>
      <w:lvlText w:val=""/>
      <w:lvlJc w:val="left"/>
      <w:pPr>
        <w:tabs>
          <w:tab w:val="num" w:pos="5814"/>
        </w:tabs>
        <w:ind w:left="5814" w:hanging="360"/>
      </w:pPr>
      <w:rPr>
        <w:rFonts w:ascii="Symbol" w:hAnsi="Symbol" w:hint="default"/>
      </w:rPr>
    </w:lvl>
    <w:lvl w:ilvl="7" w:tplc="4DECD000" w:tentative="1">
      <w:start w:val="1"/>
      <w:numFmt w:val="bullet"/>
      <w:lvlText w:val="o"/>
      <w:lvlJc w:val="left"/>
      <w:pPr>
        <w:tabs>
          <w:tab w:val="num" w:pos="6534"/>
        </w:tabs>
        <w:ind w:left="6534" w:hanging="360"/>
      </w:pPr>
      <w:rPr>
        <w:rFonts w:ascii="Courier New" w:hAnsi="Courier New" w:hint="default"/>
      </w:rPr>
    </w:lvl>
    <w:lvl w:ilvl="8" w:tplc="2AD460CE" w:tentative="1">
      <w:start w:val="1"/>
      <w:numFmt w:val="bullet"/>
      <w:lvlText w:val=""/>
      <w:lvlJc w:val="left"/>
      <w:pPr>
        <w:tabs>
          <w:tab w:val="num" w:pos="7254"/>
        </w:tabs>
        <w:ind w:left="7254" w:hanging="360"/>
      </w:pPr>
      <w:rPr>
        <w:rFonts w:ascii="Wingdings" w:hAnsi="Wingdings" w:hint="default"/>
      </w:rPr>
    </w:lvl>
  </w:abstractNum>
  <w:abstractNum w:abstractNumId="26" w15:restartNumberingAfterBreak="0">
    <w:nsid w:val="485B1D70"/>
    <w:multiLevelType w:val="hybridMultilevel"/>
    <w:tmpl w:val="19D2E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D20022"/>
    <w:multiLevelType w:val="hybridMultilevel"/>
    <w:tmpl w:val="9C6C4628"/>
    <w:lvl w:ilvl="0" w:tplc="CA3CF790">
      <w:start w:val="1"/>
      <w:numFmt w:val="bullet"/>
      <w:lvlText w:val="o"/>
      <w:lvlJc w:val="left"/>
      <w:pPr>
        <w:tabs>
          <w:tab w:val="num" w:pos="720"/>
        </w:tabs>
        <w:ind w:left="720" w:hanging="360"/>
      </w:pPr>
      <w:rPr>
        <w:rFonts w:ascii="Courier New" w:hAnsi="Courier New" w:hint="default"/>
      </w:rPr>
    </w:lvl>
    <w:lvl w:ilvl="1" w:tplc="11565398" w:tentative="1">
      <w:start w:val="1"/>
      <w:numFmt w:val="bullet"/>
      <w:lvlText w:val="o"/>
      <w:lvlJc w:val="left"/>
      <w:pPr>
        <w:tabs>
          <w:tab w:val="num" w:pos="1440"/>
        </w:tabs>
        <w:ind w:left="1440" w:hanging="360"/>
      </w:pPr>
      <w:rPr>
        <w:rFonts w:ascii="Courier New" w:hAnsi="Courier New" w:hint="default"/>
      </w:rPr>
    </w:lvl>
    <w:lvl w:ilvl="2" w:tplc="835CF190" w:tentative="1">
      <w:start w:val="1"/>
      <w:numFmt w:val="bullet"/>
      <w:lvlText w:val=""/>
      <w:lvlJc w:val="left"/>
      <w:pPr>
        <w:tabs>
          <w:tab w:val="num" w:pos="2160"/>
        </w:tabs>
        <w:ind w:left="2160" w:hanging="360"/>
      </w:pPr>
      <w:rPr>
        <w:rFonts w:ascii="Wingdings" w:hAnsi="Wingdings" w:hint="default"/>
      </w:rPr>
    </w:lvl>
    <w:lvl w:ilvl="3" w:tplc="C72C5866" w:tentative="1">
      <w:start w:val="1"/>
      <w:numFmt w:val="bullet"/>
      <w:lvlText w:val=""/>
      <w:lvlJc w:val="left"/>
      <w:pPr>
        <w:tabs>
          <w:tab w:val="num" w:pos="2880"/>
        </w:tabs>
        <w:ind w:left="2880" w:hanging="360"/>
      </w:pPr>
      <w:rPr>
        <w:rFonts w:ascii="Symbol" w:hAnsi="Symbol" w:hint="default"/>
      </w:rPr>
    </w:lvl>
    <w:lvl w:ilvl="4" w:tplc="D340ED2E" w:tentative="1">
      <w:start w:val="1"/>
      <w:numFmt w:val="bullet"/>
      <w:lvlText w:val="o"/>
      <w:lvlJc w:val="left"/>
      <w:pPr>
        <w:tabs>
          <w:tab w:val="num" w:pos="3600"/>
        </w:tabs>
        <w:ind w:left="3600" w:hanging="360"/>
      </w:pPr>
      <w:rPr>
        <w:rFonts w:ascii="Courier New" w:hAnsi="Courier New" w:hint="default"/>
      </w:rPr>
    </w:lvl>
    <w:lvl w:ilvl="5" w:tplc="7F86B40E" w:tentative="1">
      <w:start w:val="1"/>
      <w:numFmt w:val="bullet"/>
      <w:lvlText w:val=""/>
      <w:lvlJc w:val="left"/>
      <w:pPr>
        <w:tabs>
          <w:tab w:val="num" w:pos="4320"/>
        </w:tabs>
        <w:ind w:left="4320" w:hanging="360"/>
      </w:pPr>
      <w:rPr>
        <w:rFonts w:ascii="Wingdings" w:hAnsi="Wingdings" w:hint="default"/>
      </w:rPr>
    </w:lvl>
    <w:lvl w:ilvl="6" w:tplc="15DE6D74" w:tentative="1">
      <w:start w:val="1"/>
      <w:numFmt w:val="bullet"/>
      <w:lvlText w:val=""/>
      <w:lvlJc w:val="left"/>
      <w:pPr>
        <w:tabs>
          <w:tab w:val="num" w:pos="5040"/>
        </w:tabs>
        <w:ind w:left="5040" w:hanging="360"/>
      </w:pPr>
      <w:rPr>
        <w:rFonts w:ascii="Symbol" w:hAnsi="Symbol" w:hint="default"/>
      </w:rPr>
    </w:lvl>
    <w:lvl w:ilvl="7" w:tplc="9908765E" w:tentative="1">
      <w:start w:val="1"/>
      <w:numFmt w:val="bullet"/>
      <w:lvlText w:val="o"/>
      <w:lvlJc w:val="left"/>
      <w:pPr>
        <w:tabs>
          <w:tab w:val="num" w:pos="5760"/>
        </w:tabs>
        <w:ind w:left="5760" w:hanging="360"/>
      </w:pPr>
      <w:rPr>
        <w:rFonts w:ascii="Courier New" w:hAnsi="Courier New" w:hint="default"/>
      </w:rPr>
    </w:lvl>
    <w:lvl w:ilvl="8" w:tplc="98241C9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06769B"/>
    <w:multiLevelType w:val="hybridMultilevel"/>
    <w:tmpl w:val="AB5C954A"/>
    <w:lvl w:ilvl="0" w:tplc="0409000D">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E7094D"/>
    <w:multiLevelType w:val="hybridMultilevel"/>
    <w:tmpl w:val="240092B2"/>
    <w:lvl w:ilvl="0" w:tplc="08090001">
      <w:start w:val="1"/>
      <w:numFmt w:val="lowerLetter"/>
      <w:lvlText w:val="%1)"/>
      <w:lvlJc w:val="left"/>
      <w:pPr>
        <w:ind w:left="720" w:hanging="360"/>
      </w:pPr>
      <w:rPr>
        <w:rFonts w:cs="Times New Roman"/>
      </w:rPr>
    </w:lvl>
    <w:lvl w:ilvl="1" w:tplc="08090001"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5E7B5F1D"/>
    <w:multiLevelType w:val="singleLevel"/>
    <w:tmpl w:val="36D4BE38"/>
    <w:lvl w:ilvl="0">
      <w:start w:val="2"/>
      <w:numFmt w:val="lowerLetter"/>
      <w:lvlText w:val="%1)"/>
      <w:legacy w:legacy="1" w:legacySpace="120" w:legacyIndent="795"/>
      <w:lvlJc w:val="left"/>
      <w:pPr>
        <w:ind w:left="1155" w:hanging="795"/>
      </w:pPr>
    </w:lvl>
  </w:abstractNum>
  <w:abstractNum w:abstractNumId="31" w15:restartNumberingAfterBreak="0">
    <w:nsid w:val="5F8079E5"/>
    <w:multiLevelType w:val="hybridMultilevel"/>
    <w:tmpl w:val="33989E62"/>
    <w:lvl w:ilvl="0" w:tplc="29388CE4">
      <w:start w:val="1"/>
      <w:numFmt w:val="bullet"/>
      <w:lvlText w:val=""/>
      <w:lvlJc w:val="left"/>
      <w:pPr>
        <w:tabs>
          <w:tab w:val="num" w:pos="720"/>
        </w:tabs>
        <w:ind w:left="720" w:hanging="360"/>
      </w:pPr>
      <w:rPr>
        <w:rFonts w:ascii="Wingdings" w:hAnsi="Wingdings" w:hint="default"/>
      </w:rPr>
    </w:lvl>
    <w:lvl w:ilvl="1" w:tplc="B296964A">
      <w:start w:val="1"/>
      <w:numFmt w:val="bullet"/>
      <w:lvlText w:val="o"/>
      <w:lvlJc w:val="left"/>
      <w:pPr>
        <w:tabs>
          <w:tab w:val="num" w:pos="1440"/>
        </w:tabs>
        <w:ind w:left="1440" w:hanging="360"/>
      </w:pPr>
      <w:rPr>
        <w:rFonts w:ascii="Courier New" w:hAnsi="Courier New" w:hint="default"/>
      </w:rPr>
    </w:lvl>
    <w:lvl w:ilvl="2" w:tplc="FD44A824" w:tentative="1">
      <w:start w:val="1"/>
      <w:numFmt w:val="bullet"/>
      <w:lvlText w:val=""/>
      <w:lvlJc w:val="left"/>
      <w:pPr>
        <w:tabs>
          <w:tab w:val="num" w:pos="2160"/>
        </w:tabs>
        <w:ind w:left="2160" w:hanging="360"/>
      </w:pPr>
      <w:rPr>
        <w:rFonts w:ascii="Wingdings" w:hAnsi="Wingdings" w:hint="default"/>
      </w:rPr>
    </w:lvl>
    <w:lvl w:ilvl="3" w:tplc="DC507EF8" w:tentative="1">
      <w:start w:val="1"/>
      <w:numFmt w:val="bullet"/>
      <w:lvlText w:val=""/>
      <w:lvlJc w:val="left"/>
      <w:pPr>
        <w:tabs>
          <w:tab w:val="num" w:pos="2880"/>
        </w:tabs>
        <w:ind w:left="2880" w:hanging="360"/>
      </w:pPr>
      <w:rPr>
        <w:rFonts w:ascii="Symbol" w:hAnsi="Symbol" w:hint="default"/>
      </w:rPr>
    </w:lvl>
    <w:lvl w:ilvl="4" w:tplc="4CDAB5E2" w:tentative="1">
      <w:start w:val="1"/>
      <w:numFmt w:val="bullet"/>
      <w:lvlText w:val="o"/>
      <w:lvlJc w:val="left"/>
      <w:pPr>
        <w:tabs>
          <w:tab w:val="num" w:pos="3600"/>
        </w:tabs>
        <w:ind w:left="3600" w:hanging="360"/>
      </w:pPr>
      <w:rPr>
        <w:rFonts w:ascii="Courier New" w:hAnsi="Courier New" w:hint="default"/>
      </w:rPr>
    </w:lvl>
    <w:lvl w:ilvl="5" w:tplc="2ABE386E" w:tentative="1">
      <w:start w:val="1"/>
      <w:numFmt w:val="bullet"/>
      <w:lvlText w:val=""/>
      <w:lvlJc w:val="left"/>
      <w:pPr>
        <w:tabs>
          <w:tab w:val="num" w:pos="4320"/>
        </w:tabs>
        <w:ind w:left="4320" w:hanging="360"/>
      </w:pPr>
      <w:rPr>
        <w:rFonts w:ascii="Wingdings" w:hAnsi="Wingdings" w:hint="default"/>
      </w:rPr>
    </w:lvl>
    <w:lvl w:ilvl="6" w:tplc="4A340096" w:tentative="1">
      <w:start w:val="1"/>
      <w:numFmt w:val="bullet"/>
      <w:lvlText w:val=""/>
      <w:lvlJc w:val="left"/>
      <w:pPr>
        <w:tabs>
          <w:tab w:val="num" w:pos="5040"/>
        </w:tabs>
        <w:ind w:left="5040" w:hanging="360"/>
      </w:pPr>
      <w:rPr>
        <w:rFonts w:ascii="Symbol" w:hAnsi="Symbol" w:hint="default"/>
      </w:rPr>
    </w:lvl>
    <w:lvl w:ilvl="7" w:tplc="B28C5784" w:tentative="1">
      <w:start w:val="1"/>
      <w:numFmt w:val="bullet"/>
      <w:lvlText w:val="o"/>
      <w:lvlJc w:val="left"/>
      <w:pPr>
        <w:tabs>
          <w:tab w:val="num" w:pos="5760"/>
        </w:tabs>
        <w:ind w:left="5760" w:hanging="360"/>
      </w:pPr>
      <w:rPr>
        <w:rFonts w:ascii="Courier New" w:hAnsi="Courier New" w:hint="default"/>
      </w:rPr>
    </w:lvl>
    <w:lvl w:ilvl="8" w:tplc="C42C512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F22C3B"/>
    <w:multiLevelType w:val="hybridMultilevel"/>
    <w:tmpl w:val="C0365AE0"/>
    <w:lvl w:ilvl="0" w:tplc="8BD00D42">
      <w:start w:val="1"/>
      <w:numFmt w:val="lowerLetter"/>
      <w:lvlText w:val="%1)"/>
      <w:lvlJc w:val="left"/>
      <w:pPr>
        <w:ind w:left="720" w:hanging="360"/>
      </w:pPr>
      <w:rPr>
        <w:rFonts w:cs="Times New Roman" w:hint="default"/>
      </w:rPr>
    </w:lvl>
    <w:lvl w:ilvl="1" w:tplc="10090003" w:tentative="1">
      <w:start w:val="1"/>
      <w:numFmt w:val="lowerLetter"/>
      <w:lvlText w:val="%2."/>
      <w:lvlJc w:val="left"/>
      <w:pPr>
        <w:ind w:left="1440" w:hanging="360"/>
      </w:pPr>
      <w:rPr>
        <w:rFonts w:cs="Times New Roman"/>
      </w:rPr>
    </w:lvl>
    <w:lvl w:ilvl="2" w:tplc="10090005" w:tentative="1">
      <w:start w:val="1"/>
      <w:numFmt w:val="lowerRoman"/>
      <w:lvlText w:val="%3."/>
      <w:lvlJc w:val="right"/>
      <w:pPr>
        <w:ind w:left="2160" w:hanging="180"/>
      </w:pPr>
      <w:rPr>
        <w:rFonts w:cs="Times New Roman"/>
      </w:rPr>
    </w:lvl>
    <w:lvl w:ilvl="3" w:tplc="10090001" w:tentative="1">
      <w:start w:val="1"/>
      <w:numFmt w:val="decimal"/>
      <w:lvlText w:val="%4."/>
      <w:lvlJc w:val="left"/>
      <w:pPr>
        <w:ind w:left="2880" w:hanging="360"/>
      </w:pPr>
      <w:rPr>
        <w:rFonts w:cs="Times New Roman"/>
      </w:rPr>
    </w:lvl>
    <w:lvl w:ilvl="4" w:tplc="10090003" w:tentative="1">
      <w:start w:val="1"/>
      <w:numFmt w:val="lowerLetter"/>
      <w:lvlText w:val="%5."/>
      <w:lvlJc w:val="left"/>
      <w:pPr>
        <w:ind w:left="3600" w:hanging="360"/>
      </w:pPr>
      <w:rPr>
        <w:rFonts w:cs="Times New Roman"/>
      </w:rPr>
    </w:lvl>
    <w:lvl w:ilvl="5" w:tplc="10090005" w:tentative="1">
      <w:start w:val="1"/>
      <w:numFmt w:val="lowerRoman"/>
      <w:lvlText w:val="%6."/>
      <w:lvlJc w:val="right"/>
      <w:pPr>
        <w:ind w:left="4320" w:hanging="180"/>
      </w:pPr>
      <w:rPr>
        <w:rFonts w:cs="Times New Roman"/>
      </w:rPr>
    </w:lvl>
    <w:lvl w:ilvl="6" w:tplc="10090001" w:tentative="1">
      <w:start w:val="1"/>
      <w:numFmt w:val="decimal"/>
      <w:lvlText w:val="%7."/>
      <w:lvlJc w:val="left"/>
      <w:pPr>
        <w:ind w:left="5040" w:hanging="360"/>
      </w:pPr>
      <w:rPr>
        <w:rFonts w:cs="Times New Roman"/>
      </w:rPr>
    </w:lvl>
    <w:lvl w:ilvl="7" w:tplc="10090003" w:tentative="1">
      <w:start w:val="1"/>
      <w:numFmt w:val="lowerLetter"/>
      <w:lvlText w:val="%8."/>
      <w:lvlJc w:val="left"/>
      <w:pPr>
        <w:ind w:left="5760" w:hanging="360"/>
      </w:pPr>
      <w:rPr>
        <w:rFonts w:cs="Times New Roman"/>
      </w:rPr>
    </w:lvl>
    <w:lvl w:ilvl="8" w:tplc="10090005" w:tentative="1">
      <w:start w:val="1"/>
      <w:numFmt w:val="lowerRoman"/>
      <w:lvlText w:val="%9."/>
      <w:lvlJc w:val="right"/>
      <w:pPr>
        <w:ind w:left="6480" w:hanging="180"/>
      </w:pPr>
      <w:rPr>
        <w:rFonts w:cs="Times New Roman"/>
      </w:rPr>
    </w:lvl>
  </w:abstractNum>
  <w:abstractNum w:abstractNumId="33" w15:restartNumberingAfterBreak="0">
    <w:nsid w:val="64B65B60"/>
    <w:multiLevelType w:val="multilevel"/>
    <w:tmpl w:val="2362B73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65221C04"/>
    <w:multiLevelType w:val="hybridMultilevel"/>
    <w:tmpl w:val="EC88B46C"/>
    <w:lvl w:ilvl="0" w:tplc="04090017">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5B61F0"/>
    <w:multiLevelType w:val="multilevel"/>
    <w:tmpl w:val="B97E9E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A3D676F"/>
    <w:multiLevelType w:val="hybridMultilevel"/>
    <w:tmpl w:val="90523EA2"/>
    <w:lvl w:ilvl="0" w:tplc="654813F4">
      <w:start w:val="1"/>
      <w:numFmt w:val="bullet"/>
      <w:lvlText w:val="o"/>
      <w:lvlJc w:val="left"/>
      <w:pPr>
        <w:tabs>
          <w:tab w:val="num" w:pos="720"/>
        </w:tabs>
        <w:ind w:left="720" w:hanging="360"/>
      </w:pPr>
      <w:rPr>
        <w:rFonts w:ascii="Courier New" w:hAnsi="Courier New" w:hint="default"/>
      </w:rPr>
    </w:lvl>
    <w:lvl w:ilvl="1" w:tplc="BA90DEDE" w:tentative="1">
      <w:start w:val="1"/>
      <w:numFmt w:val="bullet"/>
      <w:lvlText w:val="o"/>
      <w:lvlJc w:val="left"/>
      <w:pPr>
        <w:tabs>
          <w:tab w:val="num" w:pos="1440"/>
        </w:tabs>
        <w:ind w:left="1440" w:hanging="360"/>
      </w:pPr>
      <w:rPr>
        <w:rFonts w:ascii="Courier New" w:hAnsi="Courier New" w:hint="default"/>
      </w:rPr>
    </w:lvl>
    <w:lvl w:ilvl="2" w:tplc="86004716" w:tentative="1">
      <w:start w:val="1"/>
      <w:numFmt w:val="bullet"/>
      <w:lvlText w:val=""/>
      <w:lvlJc w:val="left"/>
      <w:pPr>
        <w:tabs>
          <w:tab w:val="num" w:pos="2160"/>
        </w:tabs>
        <w:ind w:left="2160" w:hanging="360"/>
      </w:pPr>
      <w:rPr>
        <w:rFonts w:ascii="Wingdings" w:hAnsi="Wingdings" w:hint="default"/>
      </w:rPr>
    </w:lvl>
    <w:lvl w:ilvl="3" w:tplc="ABFECE44" w:tentative="1">
      <w:start w:val="1"/>
      <w:numFmt w:val="bullet"/>
      <w:lvlText w:val=""/>
      <w:lvlJc w:val="left"/>
      <w:pPr>
        <w:tabs>
          <w:tab w:val="num" w:pos="2880"/>
        </w:tabs>
        <w:ind w:left="2880" w:hanging="360"/>
      </w:pPr>
      <w:rPr>
        <w:rFonts w:ascii="Symbol" w:hAnsi="Symbol" w:hint="default"/>
      </w:rPr>
    </w:lvl>
    <w:lvl w:ilvl="4" w:tplc="AD0C1E92" w:tentative="1">
      <w:start w:val="1"/>
      <w:numFmt w:val="bullet"/>
      <w:lvlText w:val="o"/>
      <w:lvlJc w:val="left"/>
      <w:pPr>
        <w:tabs>
          <w:tab w:val="num" w:pos="3600"/>
        </w:tabs>
        <w:ind w:left="3600" w:hanging="360"/>
      </w:pPr>
      <w:rPr>
        <w:rFonts w:ascii="Courier New" w:hAnsi="Courier New" w:hint="default"/>
      </w:rPr>
    </w:lvl>
    <w:lvl w:ilvl="5" w:tplc="1842F4D4" w:tentative="1">
      <w:start w:val="1"/>
      <w:numFmt w:val="bullet"/>
      <w:lvlText w:val=""/>
      <w:lvlJc w:val="left"/>
      <w:pPr>
        <w:tabs>
          <w:tab w:val="num" w:pos="4320"/>
        </w:tabs>
        <w:ind w:left="4320" w:hanging="360"/>
      </w:pPr>
      <w:rPr>
        <w:rFonts w:ascii="Wingdings" w:hAnsi="Wingdings" w:hint="default"/>
      </w:rPr>
    </w:lvl>
    <w:lvl w:ilvl="6" w:tplc="0108FA66" w:tentative="1">
      <w:start w:val="1"/>
      <w:numFmt w:val="bullet"/>
      <w:lvlText w:val=""/>
      <w:lvlJc w:val="left"/>
      <w:pPr>
        <w:tabs>
          <w:tab w:val="num" w:pos="5040"/>
        </w:tabs>
        <w:ind w:left="5040" w:hanging="360"/>
      </w:pPr>
      <w:rPr>
        <w:rFonts w:ascii="Symbol" w:hAnsi="Symbol" w:hint="default"/>
      </w:rPr>
    </w:lvl>
    <w:lvl w:ilvl="7" w:tplc="D08AD206" w:tentative="1">
      <w:start w:val="1"/>
      <w:numFmt w:val="bullet"/>
      <w:lvlText w:val="o"/>
      <w:lvlJc w:val="left"/>
      <w:pPr>
        <w:tabs>
          <w:tab w:val="num" w:pos="5760"/>
        </w:tabs>
        <w:ind w:left="5760" w:hanging="360"/>
      </w:pPr>
      <w:rPr>
        <w:rFonts w:ascii="Courier New" w:hAnsi="Courier New" w:hint="default"/>
      </w:rPr>
    </w:lvl>
    <w:lvl w:ilvl="8" w:tplc="F1DAD9A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3775D9"/>
    <w:multiLevelType w:val="hybridMultilevel"/>
    <w:tmpl w:val="8ED4080A"/>
    <w:lvl w:ilvl="0" w:tplc="999C63B6">
      <w:start w:val="1"/>
      <w:numFmt w:val="bullet"/>
      <w:lvlText w:val=""/>
      <w:lvlJc w:val="left"/>
      <w:pPr>
        <w:tabs>
          <w:tab w:val="num" w:pos="927"/>
        </w:tabs>
        <w:ind w:left="927" w:hanging="360"/>
      </w:pPr>
      <w:rPr>
        <w:rFonts w:ascii="Wingdings" w:hAnsi="Wingdings" w:hint="default"/>
      </w:rPr>
    </w:lvl>
    <w:lvl w:ilvl="1" w:tplc="D3C61436" w:tentative="1">
      <w:start w:val="1"/>
      <w:numFmt w:val="bullet"/>
      <w:lvlText w:val="o"/>
      <w:lvlJc w:val="left"/>
      <w:pPr>
        <w:tabs>
          <w:tab w:val="num" w:pos="1647"/>
        </w:tabs>
        <w:ind w:left="1647" w:hanging="360"/>
      </w:pPr>
      <w:rPr>
        <w:rFonts w:ascii="Courier New" w:hAnsi="Courier New" w:hint="default"/>
      </w:rPr>
    </w:lvl>
    <w:lvl w:ilvl="2" w:tplc="E0CA4CD4" w:tentative="1">
      <w:start w:val="1"/>
      <w:numFmt w:val="bullet"/>
      <w:lvlText w:val=""/>
      <w:lvlJc w:val="left"/>
      <w:pPr>
        <w:tabs>
          <w:tab w:val="num" w:pos="2367"/>
        </w:tabs>
        <w:ind w:left="2367" w:hanging="360"/>
      </w:pPr>
      <w:rPr>
        <w:rFonts w:ascii="Wingdings" w:hAnsi="Wingdings" w:hint="default"/>
      </w:rPr>
    </w:lvl>
    <w:lvl w:ilvl="3" w:tplc="EE865310" w:tentative="1">
      <w:start w:val="1"/>
      <w:numFmt w:val="bullet"/>
      <w:lvlText w:val=""/>
      <w:lvlJc w:val="left"/>
      <w:pPr>
        <w:tabs>
          <w:tab w:val="num" w:pos="3087"/>
        </w:tabs>
        <w:ind w:left="3087" w:hanging="360"/>
      </w:pPr>
      <w:rPr>
        <w:rFonts w:ascii="Symbol" w:hAnsi="Symbol" w:hint="default"/>
      </w:rPr>
    </w:lvl>
    <w:lvl w:ilvl="4" w:tplc="E090A02E" w:tentative="1">
      <w:start w:val="1"/>
      <w:numFmt w:val="bullet"/>
      <w:lvlText w:val="o"/>
      <w:lvlJc w:val="left"/>
      <w:pPr>
        <w:tabs>
          <w:tab w:val="num" w:pos="3807"/>
        </w:tabs>
        <w:ind w:left="3807" w:hanging="360"/>
      </w:pPr>
      <w:rPr>
        <w:rFonts w:ascii="Courier New" w:hAnsi="Courier New" w:hint="default"/>
      </w:rPr>
    </w:lvl>
    <w:lvl w:ilvl="5" w:tplc="790E9F14" w:tentative="1">
      <w:start w:val="1"/>
      <w:numFmt w:val="bullet"/>
      <w:lvlText w:val=""/>
      <w:lvlJc w:val="left"/>
      <w:pPr>
        <w:tabs>
          <w:tab w:val="num" w:pos="4527"/>
        </w:tabs>
        <w:ind w:left="4527" w:hanging="360"/>
      </w:pPr>
      <w:rPr>
        <w:rFonts w:ascii="Wingdings" w:hAnsi="Wingdings" w:hint="default"/>
      </w:rPr>
    </w:lvl>
    <w:lvl w:ilvl="6" w:tplc="49F47F5E" w:tentative="1">
      <w:start w:val="1"/>
      <w:numFmt w:val="bullet"/>
      <w:lvlText w:val=""/>
      <w:lvlJc w:val="left"/>
      <w:pPr>
        <w:tabs>
          <w:tab w:val="num" w:pos="5247"/>
        </w:tabs>
        <w:ind w:left="5247" w:hanging="360"/>
      </w:pPr>
      <w:rPr>
        <w:rFonts w:ascii="Symbol" w:hAnsi="Symbol" w:hint="default"/>
      </w:rPr>
    </w:lvl>
    <w:lvl w:ilvl="7" w:tplc="C61EFBBA" w:tentative="1">
      <w:start w:val="1"/>
      <w:numFmt w:val="bullet"/>
      <w:lvlText w:val="o"/>
      <w:lvlJc w:val="left"/>
      <w:pPr>
        <w:tabs>
          <w:tab w:val="num" w:pos="5967"/>
        </w:tabs>
        <w:ind w:left="5967" w:hanging="360"/>
      </w:pPr>
      <w:rPr>
        <w:rFonts w:ascii="Courier New" w:hAnsi="Courier New" w:hint="default"/>
      </w:rPr>
    </w:lvl>
    <w:lvl w:ilvl="8" w:tplc="A67A1224" w:tentative="1">
      <w:start w:val="1"/>
      <w:numFmt w:val="bullet"/>
      <w:lvlText w:val=""/>
      <w:lvlJc w:val="left"/>
      <w:pPr>
        <w:tabs>
          <w:tab w:val="num" w:pos="6687"/>
        </w:tabs>
        <w:ind w:left="6687" w:hanging="360"/>
      </w:pPr>
      <w:rPr>
        <w:rFonts w:ascii="Wingdings" w:hAnsi="Wingdings" w:hint="default"/>
      </w:rPr>
    </w:lvl>
  </w:abstractNum>
  <w:abstractNum w:abstractNumId="38" w15:restartNumberingAfterBreak="0">
    <w:nsid w:val="6E0E69DD"/>
    <w:multiLevelType w:val="hybridMultilevel"/>
    <w:tmpl w:val="09BCB064"/>
    <w:lvl w:ilvl="0" w:tplc="04090003">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9" w15:restartNumberingAfterBreak="0">
    <w:nsid w:val="74A36C2F"/>
    <w:multiLevelType w:val="hybridMultilevel"/>
    <w:tmpl w:val="37147BAA"/>
    <w:lvl w:ilvl="0" w:tplc="04090005">
      <w:start w:val="1"/>
      <w:numFmt w:val="decimal"/>
      <w:lvlText w:val="%1."/>
      <w:lvlJc w:val="left"/>
      <w:pPr>
        <w:tabs>
          <w:tab w:val="num" w:pos="927"/>
        </w:tabs>
        <w:ind w:left="927" w:hanging="360"/>
      </w:pPr>
      <w:rPr>
        <w:rFonts w:hint="default"/>
      </w:rPr>
    </w:lvl>
    <w:lvl w:ilvl="1" w:tplc="04090003" w:tentative="1">
      <w:start w:val="1"/>
      <w:numFmt w:val="lowerLetter"/>
      <w:lvlText w:val="%2."/>
      <w:lvlJc w:val="left"/>
      <w:pPr>
        <w:tabs>
          <w:tab w:val="num" w:pos="1647"/>
        </w:tabs>
        <w:ind w:left="1647" w:hanging="360"/>
      </w:pPr>
    </w:lvl>
    <w:lvl w:ilvl="2" w:tplc="04090005" w:tentative="1">
      <w:start w:val="1"/>
      <w:numFmt w:val="lowerRoman"/>
      <w:lvlText w:val="%3."/>
      <w:lvlJc w:val="right"/>
      <w:pPr>
        <w:tabs>
          <w:tab w:val="num" w:pos="2367"/>
        </w:tabs>
        <w:ind w:left="2367" w:hanging="180"/>
      </w:pPr>
    </w:lvl>
    <w:lvl w:ilvl="3" w:tplc="04090001" w:tentative="1">
      <w:start w:val="1"/>
      <w:numFmt w:val="decimal"/>
      <w:lvlText w:val="%4."/>
      <w:lvlJc w:val="left"/>
      <w:pPr>
        <w:tabs>
          <w:tab w:val="num" w:pos="3087"/>
        </w:tabs>
        <w:ind w:left="3087" w:hanging="360"/>
      </w:pPr>
    </w:lvl>
    <w:lvl w:ilvl="4" w:tplc="04090003" w:tentative="1">
      <w:start w:val="1"/>
      <w:numFmt w:val="lowerLetter"/>
      <w:lvlText w:val="%5."/>
      <w:lvlJc w:val="left"/>
      <w:pPr>
        <w:tabs>
          <w:tab w:val="num" w:pos="3807"/>
        </w:tabs>
        <w:ind w:left="3807" w:hanging="360"/>
      </w:pPr>
    </w:lvl>
    <w:lvl w:ilvl="5" w:tplc="04090005" w:tentative="1">
      <w:start w:val="1"/>
      <w:numFmt w:val="lowerRoman"/>
      <w:lvlText w:val="%6."/>
      <w:lvlJc w:val="right"/>
      <w:pPr>
        <w:tabs>
          <w:tab w:val="num" w:pos="4527"/>
        </w:tabs>
        <w:ind w:left="4527" w:hanging="180"/>
      </w:pPr>
    </w:lvl>
    <w:lvl w:ilvl="6" w:tplc="04090001" w:tentative="1">
      <w:start w:val="1"/>
      <w:numFmt w:val="decimal"/>
      <w:lvlText w:val="%7."/>
      <w:lvlJc w:val="left"/>
      <w:pPr>
        <w:tabs>
          <w:tab w:val="num" w:pos="5247"/>
        </w:tabs>
        <w:ind w:left="5247" w:hanging="360"/>
      </w:pPr>
    </w:lvl>
    <w:lvl w:ilvl="7" w:tplc="04090003" w:tentative="1">
      <w:start w:val="1"/>
      <w:numFmt w:val="lowerLetter"/>
      <w:lvlText w:val="%8."/>
      <w:lvlJc w:val="left"/>
      <w:pPr>
        <w:tabs>
          <w:tab w:val="num" w:pos="5967"/>
        </w:tabs>
        <w:ind w:left="5967" w:hanging="360"/>
      </w:pPr>
    </w:lvl>
    <w:lvl w:ilvl="8" w:tplc="04090005" w:tentative="1">
      <w:start w:val="1"/>
      <w:numFmt w:val="lowerRoman"/>
      <w:lvlText w:val="%9."/>
      <w:lvlJc w:val="right"/>
      <w:pPr>
        <w:tabs>
          <w:tab w:val="num" w:pos="6687"/>
        </w:tabs>
        <w:ind w:left="6687" w:hanging="180"/>
      </w:pPr>
    </w:lvl>
  </w:abstractNum>
  <w:abstractNum w:abstractNumId="40" w15:restartNumberingAfterBreak="0">
    <w:nsid w:val="7A6D0213"/>
    <w:multiLevelType w:val="hybridMultilevel"/>
    <w:tmpl w:val="B0BEF632"/>
    <w:lvl w:ilvl="0" w:tplc="49B88D58">
      <w:start w:val="1"/>
      <w:numFmt w:val="bullet"/>
      <w:lvlText w:val=""/>
      <w:lvlJc w:val="left"/>
      <w:pPr>
        <w:tabs>
          <w:tab w:val="num" w:pos="1287"/>
        </w:tabs>
        <w:ind w:left="1287" w:hanging="360"/>
      </w:pPr>
      <w:rPr>
        <w:rFonts w:ascii="Wingdings" w:hAnsi="Wingdings"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numFmt w:val="bullet"/>
      <w:lvlText w:val="-"/>
      <w:lvlJc w:val="left"/>
      <w:pPr>
        <w:tabs>
          <w:tab w:val="num" w:pos="2727"/>
        </w:tabs>
        <w:ind w:left="2727" w:hanging="360"/>
      </w:pPr>
      <w:rPr>
        <w:rFonts w:ascii="Times New Roman" w:eastAsia="Times New Roman" w:hAnsi="Times New Roman" w:cs="Times New Roman"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7FAB141F"/>
    <w:multiLevelType w:val="singleLevel"/>
    <w:tmpl w:val="0809000F"/>
    <w:lvl w:ilvl="0">
      <w:start w:val="1"/>
      <w:numFmt w:val="decimal"/>
      <w:lvlText w:val="%1."/>
      <w:lvlJc w:val="left"/>
      <w:pPr>
        <w:tabs>
          <w:tab w:val="num" w:pos="360"/>
        </w:tabs>
        <w:ind w:left="360" w:hanging="360"/>
      </w:pPr>
    </w:lvl>
  </w:abstractNum>
  <w:num w:numId="1">
    <w:abstractNumId w:val="1"/>
  </w:num>
  <w:num w:numId="2">
    <w:abstractNumId w:val="1"/>
  </w:num>
  <w:num w:numId="3">
    <w:abstractNumId w:val="1"/>
  </w:num>
  <w:num w:numId="4">
    <w:abstractNumId w:val="1"/>
  </w:num>
  <w:num w:numId="5">
    <w:abstractNumId w:val="1"/>
  </w:num>
  <w:num w:numId="6">
    <w:abstractNumId w:val="41"/>
  </w:num>
  <w:num w:numId="7">
    <w:abstractNumId w:val="6"/>
  </w:num>
  <w:num w:numId="8">
    <w:abstractNumId w:val="2"/>
  </w:num>
  <w:num w:numId="9">
    <w:abstractNumId w:val="9"/>
  </w:num>
  <w:num w:numId="10">
    <w:abstractNumId w:val="13"/>
  </w:num>
  <w:num w:numId="11">
    <w:abstractNumId w:val="10"/>
  </w:num>
  <w:num w:numId="12">
    <w:abstractNumId w:val="7"/>
  </w:num>
  <w:num w:numId="13">
    <w:abstractNumId w:val="24"/>
  </w:num>
  <w:num w:numId="14">
    <w:abstractNumId w:val="15"/>
  </w:num>
  <w:num w:numId="15">
    <w:abstractNumId w:val="39"/>
  </w:num>
  <w:num w:numId="16">
    <w:abstractNumId w:val="31"/>
  </w:num>
  <w:num w:numId="17">
    <w:abstractNumId w:val="3"/>
  </w:num>
  <w:num w:numId="18">
    <w:abstractNumId w:val="4"/>
  </w:num>
  <w:num w:numId="19">
    <w:abstractNumId w:val="19"/>
  </w:num>
  <w:num w:numId="20">
    <w:abstractNumId w:val="12"/>
  </w:num>
  <w:num w:numId="21">
    <w:abstractNumId w:val="25"/>
  </w:num>
  <w:num w:numId="22">
    <w:abstractNumId w:val="40"/>
  </w:num>
  <w:num w:numId="23">
    <w:abstractNumId w:val="23"/>
  </w:num>
  <w:num w:numId="24">
    <w:abstractNumId w:val="5"/>
  </w:num>
  <w:num w:numId="25">
    <w:abstractNumId w:val="18"/>
  </w:num>
  <w:num w:numId="26">
    <w:abstractNumId w:val="22"/>
  </w:num>
  <w:num w:numId="27">
    <w:abstractNumId w:val="21"/>
  </w:num>
  <w:num w:numId="28">
    <w:abstractNumId w:val="37"/>
  </w:num>
  <w:num w:numId="29">
    <w:abstractNumId w:val="0"/>
  </w:num>
  <w:num w:numId="30">
    <w:abstractNumId w:val="30"/>
  </w:num>
  <w:num w:numId="31">
    <w:abstractNumId w:val="35"/>
  </w:num>
  <w:num w:numId="32">
    <w:abstractNumId w:val="28"/>
  </w:num>
  <w:num w:numId="33">
    <w:abstractNumId w:val="38"/>
  </w:num>
  <w:num w:numId="34">
    <w:abstractNumId w:val="11"/>
  </w:num>
  <w:num w:numId="35">
    <w:abstractNumId w:val="16"/>
  </w:num>
  <w:num w:numId="36">
    <w:abstractNumId w:val="27"/>
  </w:num>
  <w:num w:numId="37">
    <w:abstractNumId w:val="36"/>
  </w:num>
  <w:num w:numId="38">
    <w:abstractNumId w:val="17"/>
  </w:num>
  <w:num w:numId="39">
    <w:abstractNumId w:val="34"/>
  </w:num>
  <w:num w:numId="40">
    <w:abstractNumId w:val="14"/>
    <w:lvlOverride w:ilvl="0">
      <w:startOverride w:val="1"/>
    </w:lvlOverride>
  </w:num>
  <w:num w:numId="41">
    <w:abstractNumId w:val="33"/>
  </w:num>
  <w:num w:numId="42">
    <w:abstractNumId w:val="32"/>
  </w:num>
  <w:num w:numId="43">
    <w:abstractNumId w:val="8"/>
  </w:num>
  <w:num w:numId="44">
    <w:abstractNumId w:val="20"/>
  </w:num>
  <w:num w:numId="45">
    <w:abstractNumId w:val="29"/>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intFractionalCharacterWidth/>
  <w:embedSystemFonts/>
  <w:activeWritingStyle w:appName="MSWord" w:lang="de-DE" w:vendorID="9" w:dllVersion="512" w:checkStyle="0"/>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9569">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C3A"/>
    <w:rsid w:val="00005689"/>
    <w:rsid w:val="00005C1A"/>
    <w:rsid w:val="00021FCA"/>
    <w:rsid w:val="0005700D"/>
    <w:rsid w:val="00081305"/>
    <w:rsid w:val="00094EFE"/>
    <w:rsid w:val="000C3A57"/>
    <w:rsid w:val="000C757B"/>
    <w:rsid w:val="000C7E6C"/>
    <w:rsid w:val="000D1C5B"/>
    <w:rsid w:val="000D7FA0"/>
    <w:rsid w:val="000E1EF6"/>
    <w:rsid w:val="00110FE2"/>
    <w:rsid w:val="0011198D"/>
    <w:rsid w:val="00120A14"/>
    <w:rsid w:val="00130406"/>
    <w:rsid w:val="00141C3A"/>
    <w:rsid w:val="00144931"/>
    <w:rsid w:val="0015487B"/>
    <w:rsid w:val="00163215"/>
    <w:rsid w:val="00164A1C"/>
    <w:rsid w:val="00171528"/>
    <w:rsid w:val="00174D75"/>
    <w:rsid w:val="001830CF"/>
    <w:rsid w:val="00191074"/>
    <w:rsid w:val="001A4AA0"/>
    <w:rsid w:val="001B2BF1"/>
    <w:rsid w:val="001B6A0B"/>
    <w:rsid w:val="001B7C37"/>
    <w:rsid w:val="001C07EE"/>
    <w:rsid w:val="001D754E"/>
    <w:rsid w:val="001F3A2E"/>
    <w:rsid w:val="001F4D32"/>
    <w:rsid w:val="00211352"/>
    <w:rsid w:val="00221ABA"/>
    <w:rsid w:val="00222C2B"/>
    <w:rsid w:val="00261C8F"/>
    <w:rsid w:val="002923C9"/>
    <w:rsid w:val="002B3D33"/>
    <w:rsid w:val="002B5E4A"/>
    <w:rsid w:val="002C701A"/>
    <w:rsid w:val="002D0AF6"/>
    <w:rsid w:val="002D19C5"/>
    <w:rsid w:val="002E14BB"/>
    <w:rsid w:val="00306DA6"/>
    <w:rsid w:val="00334D6B"/>
    <w:rsid w:val="00336826"/>
    <w:rsid w:val="0037310F"/>
    <w:rsid w:val="003739DC"/>
    <w:rsid w:val="00374141"/>
    <w:rsid w:val="003934B2"/>
    <w:rsid w:val="0039515A"/>
    <w:rsid w:val="003968D8"/>
    <w:rsid w:val="003B1213"/>
    <w:rsid w:val="003D1DB7"/>
    <w:rsid w:val="003E58C9"/>
    <w:rsid w:val="003F5422"/>
    <w:rsid w:val="00423431"/>
    <w:rsid w:val="00430FC8"/>
    <w:rsid w:val="00441A6E"/>
    <w:rsid w:val="00450EFD"/>
    <w:rsid w:val="00473DCC"/>
    <w:rsid w:val="00476D9B"/>
    <w:rsid w:val="00481927"/>
    <w:rsid w:val="00486BCB"/>
    <w:rsid w:val="00490FB1"/>
    <w:rsid w:val="004C21A6"/>
    <w:rsid w:val="004D1F73"/>
    <w:rsid w:val="004D465F"/>
    <w:rsid w:val="004D7C26"/>
    <w:rsid w:val="004E088F"/>
    <w:rsid w:val="004F7F0D"/>
    <w:rsid w:val="0050019A"/>
    <w:rsid w:val="005002E7"/>
    <w:rsid w:val="005167DF"/>
    <w:rsid w:val="00520C0E"/>
    <w:rsid w:val="005363F0"/>
    <w:rsid w:val="00551B38"/>
    <w:rsid w:val="00552841"/>
    <w:rsid w:val="00564B1C"/>
    <w:rsid w:val="005712AE"/>
    <w:rsid w:val="005761A1"/>
    <w:rsid w:val="00577567"/>
    <w:rsid w:val="005929AF"/>
    <w:rsid w:val="005A4D1E"/>
    <w:rsid w:val="005A4D52"/>
    <w:rsid w:val="005C3363"/>
    <w:rsid w:val="005E5131"/>
    <w:rsid w:val="005E583B"/>
    <w:rsid w:val="005E67E0"/>
    <w:rsid w:val="005F1907"/>
    <w:rsid w:val="006121D9"/>
    <w:rsid w:val="00613330"/>
    <w:rsid w:val="00622965"/>
    <w:rsid w:val="00625C65"/>
    <w:rsid w:val="006335D8"/>
    <w:rsid w:val="0065096A"/>
    <w:rsid w:val="006627AE"/>
    <w:rsid w:val="00666D12"/>
    <w:rsid w:val="006919CC"/>
    <w:rsid w:val="006A1C3D"/>
    <w:rsid w:val="006A48E3"/>
    <w:rsid w:val="006B376A"/>
    <w:rsid w:val="006E4D99"/>
    <w:rsid w:val="006E798F"/>
    <w:rsid w:val="007103A6"/>
    <w:rsid w:val="00725F85"/>
    <w:rsid w:val="007465B9"/>
    <w:rsid w:val="00754591"/>
    <w:rsid w:val="00763875"/>
    <w:rsid w:val="007727E3"/>
    <w:rsid w:val="00776C04"/>
    <w:rsid w:val="007802A0"/>
    <w:rsid w:val="0078199A"/>
    <w:rsid w:val="00793136"/>
    <w:rsid w:val="0079506C"/>
    <w:rsid w:val="007A07CA"/>
    <w:rsid w:val="007B2B2B"/>
    <w:rsid w:val="007D0DAC"/>
    <w:rsid w:val="007D53F3"/>
    <w:rsid w:val="007E1F8A"/>
    <w:rsid w:val="007F4555"/>
    <w:rsid w:val="00817E78"/>
    <w:rsid w:val="00824797"/>
    <w:rsid w:val="0084560D"/>
    <w:rsid w:val="0085495A"/>
    <w:rsid w:val="00856A61"/>
    <w:rsid w:val="008616FA"/>
    <w:rsid w:val="00872367"/>
    <w:rsid w:val="0087440A"/>
    <w:rsid w:val="00875848"/>
    <w:rsid w:val="00895B55"/>
    <w:rsid w:val="008B6ED8"/>
    <w:rsid w:val="008D1190"/>
    <w:rsid w:val="008D3286"/>
    <w:rsid w:val="00912004"/>
    <w:rsid w:val="009168ED"/>
    <w:rsid w:val="009174D9"/>
    <w:rsid w:val="009300B1"/>
    <w:rsid w:val="00935858"/>
    <w:rsid w:val="00936963"/>
    <w:rsid w:val="00937B9A"/>
    <w:rsid w:val="00940C8D"/>
    <w:rsid w:val="0095190A"/>
    <w:rsid w:val="00956B13"/>
    <w:rsid w:val="00973736"/>
    <w:rsid w:val="00981521"/>
    <w:rsid w:val="0098370B"/>
    <w:rsid w:val="0098396F"/>
    <w:rsid w:val="00997929"/>
    <w:rsid w:val="009C2B64"/>
    <w:rsid w:val="009D1365"/>
    <w:rsid w:val="009D33A3"/>
    <w:rsid w:val="009D45ED"/>
    <w:rsid w:val="009F2983"/>
    <w:rsid w:val="00A004C3"/>
    <w:rsid w:val="00A123DB"/>
    <w:rsid w:val="00A20AB6"/>
    <w:rsid w:val="00A56902"/>
    <w:rsid w:val="00A61DEF"/>
    <w:rsid w:val="00A72255"/>
    <w:rsid w:val="00A77FBB"/>
    <w:rsid w:val="00AA2DC9"/>
    <w:rsid w:val="00AA7D6D"/>
    <w:rsid w:val="00AD5111"/>
    <w:rsid w:val="00AE1060"/>
    <w:rsid w:val="00AE256C"/>
    <w:rsid w:val="00AF0832"/>
    <w:rsid w:val="00AF3303"/>
    <w:rsid w:val="00AF6928"/>
    <w:rsid w:val="00B05138"/>
    <w:rsid w:val="00B14EF7"/>
    <w:rsid w:val="00B17C7B"/>
    <w:rsid w:val="00B70473"/>
    <w:rsid w:val="00B80318"/>
    <w:rsid w:val="00B80E07"/>
    <w:rsid w:val="00B826C6"/>
    <w:rsid w:val="00BB066D"/>
    <w:rsid w:val="00BB4B6D"/>
    <w:rsid w:val="00BB7EDD"/>
    <w:rsid w:val="00BC3152"/>
    <w:rsid w:val="00BC4A74"/>
    <w:rsid w:val="00BC6966"/>
    <w:rsid w:val="00BD65ED"/>
    <w:rsid w:val="00BE7826"/>
    <w:rsid w:val="00BF2CA7"/>
    <w:rsid w:val="00C0451F"/>
    <w:rsid w:val="00C22DAB"/>
    <w:rsid w:val="00C31B0B"/>
    <w:rsid w:val="00C35879"/>
    <w:rsid w:val="00C428F6"/>
    <w:rsid w:val="00C6236B"/>
    <w:rsid w:val="00C71F8C"/>
    <w:rsid w:val="00C81D5D"/>
    <w:rsid w:val="00C826C0"/>
    <w:rsid w:val="00C852EC"/>
    <w:rsid w:val="00CC015C"/>
    <w:rsid w:val="00CC29EF"/>
    <w:rsid w:val="00CC40DC"/>
    <w:rsid w:val="00CD1429"/>
    <w:rsid w:val="00CE733D"/>
    <w:rsid w:val="00CF11A8"/>
    <w:rsid w:val="00CF4F77"/>
    <w:rsid w:val="00D1468F"/>
    <w:rsid w:val="00D26C1B"/>
    <w:rsid w:val="00D30A96"/>
    <w:rsid w:val="00D53D1D"/>
    <w:rsid w:val="00D61B97"/>
    <w:rsid w:val="00D63271"/>
    <w:rsid w:val="00D75A27"/>
    <w:rsid w:val="00D76B66"/>
    <w:rsid w:val="00D871C0"/>
    <w:rsid w:val="00DA0D81"/>
    <w:rsid w:val="00DD59C2"/>
    <w:rsid w:val="00DD74A8"/>
    <w:rsid w:val="00DE2A2D"/>
    <w:rsid w:val="00E125DE"/>
    <w:rsid w:val="00E1396D"/>
    <w:rsid w:val="00E16BF1"/>
    <w:rsid w:val="00E2318F"/>
    <w:rsid w:val="00E24B0B"/>
    <w:rsid w:val="00E438DB"/>
    <w:rsid w:val="00E44706"/>
    <w:rsid w:val="00E52513"/>
    <w:rsid w:val="00E71402"/>
    <w:rsid w:val="00E77DFB"/>
    <w:rsid w:val="00E81FE2"/>
    <w:rsid w:val="00E93FC0"/>
    <w:rsid w:val="00EA547C"/>
    <w:rsid w:val="00EB17E2"/>
    <w:rsid w:val="00EB360D"/>
    <w:rsid w:val="00EC2190"/>
    <w:rsid w:val="00EC562B"/>
    <w:rsid w:val="00EC6177"/>
    <w:rsid w:val="00ED1A3B"/>
    <w:rsid w:val="00ED7223"/>
    <w:rsid w:val="00EF6CC4"/>
    <w:rsid w:val="00F00434"/>
    <w:rsid w:val="00F12F1A"/>
    <w:rsid w:val="00F423E7"/>
    <w:rsid w:val="00F628E6"/>
    <w:rsid w:val="00F67E14"/>
    <w:rsid w:val="00F76929"/>
    <w:rsid w:val="00F94BE8"/>
    <w:rsid w:val="00FA20BB"/>
    <w:rsid w:val="00FB156F"/>
    <w:rsid w:val="00FC4CB2"/>
    <w:rsid w:val="00FC597A"/>
    <w:rsid w:val="00FD527F"/>
    <w:rsid w:val="00FD66FF"/>
    <w:rsid w:val="00FF0E3C"/>
    <w:rsid w:val="00FF2E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colormenu v:ext="edit" strokecolor="none"/>
    </o:shapedefaults>
    <o:shapelayout v:ext="edit">
      <o:idmap v:ext="edit" data="1"/>
    </o:shapelayout>
  </w:shapeDefaults>
  <w:decimalSymbol w:val="."/>
  <w:listSeparator w:val=","/>
  <w15:docId w15:val="{6898409B-F13A-4BC9-95F7-1545C832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98F"/>
    <w:pPr>
      <w:tabs>
        <w:tab w:val="left" w:pos="794"/>
        <w:tab w:val="left" w:pos="1191"/>
        <w:tab w:val="left" w:pos="1588"/>
        <w:tab w:val="left" w:pos="1985"/>
      </w:tabs>
      <w:overflowPunct w:val="0"/>
      <w:autoSpaceDE w:val="0"/>
      <w:autoSpaceDN w:val="0"/>
      <w:adjustRightInd w:val="0"/>
      <w:spacing w:before="120"/>
      <w:textAlignment w:val="baseline"/>
    </w:pPr>
    <w:rPr>
      <w:sz w:val="24"/>
      <w:lang w:val="en-GB"/>
    </w:rPr>
  </w:style>
  <w:style w:type="paragraph" w:styleId="Heading1">
    <w:name w:val="heading 1"/>
    <w:aliases w:val="h1,1st level,toc1,l1,I1,1,AboutDocument,Gesamzüberschrift,Test"/>
    <w:basedOn w:val="Normal"/>
    <w:next w:val="Normal"/>
    <w:link w:val="Heading1Char"/>
    <w:qFormat/>
    <w:rsid w:val="006E798F"/>
    <w:pPr>
      <w:keepNext/>
      <w:keepLines/>
      <w:numPr>
        <w:numId w:val="8"/>
      </w:numPr>
      <w:spacing w:before="360"/>
      <w:outlineLvl w:val="0"/>
    </w:pPr>
    <w:rPr>
      <w:b/>
    </w:rPr>
  </w:style>
  <w:style w:type="paragraph" w:styleId="Heading2">
    <w:name w:val="heading 2"/>
    <w:basedOn w:val="Heading1"/>
    <w:next w:val="Normal"/>
    <w:qFormat/>
    <w:rsid w:val="006E798F"/>
    <w:pPr>
      <w:numPr>
        <w:ilvl w:val="1"/>
      </w:numPr>
      <w:outlineLvl w:val="1"/>
    </w:pPr>
  </w:style>
  <w:style w:type="paragraph" w:styleId="Heading3">
    <w:name w:val="heading 3"/>
    <w:basedOn w:val="Heading1"/>
    <w:next w:val="Normal"/>
    <w:link w:val="Heading3Char"/>
    <w:qFormat/>
    <w:rsid w:val="006E798F"/>
    <w:pPr>
      <w:keepNext w:val="0"/>
      <w:keepLines w:val="0"/>
      <w:widowControl w:val="0"/>
      <w:numPr>
        <w:ilvl w:val="2"/>
      </w:numPr>
      <w:outlineLvl w:val="2"/>
    </w:pPr>
  </w:style>
  <w:style w:type="paragraph" w:styleId="Heading4">
    <w:name w:val="heading 4"/>
    <w:basedOn w:val="Heading3"/>
    <w:next w:val="Normal"/>
    <w:link w:val="Heading4Char"/>
    <w:qFormat/>
    <w:rsid w:val="006E798F"/>
    <w:pPr>
      <w:numPr>
        <w:ilvl w:val="3"/>
      </w:numPr>
      <w:tabs>
        <w:tab w:val="clear" w:pos="794"/>
        <w:tab w:val="left" w:pos="1021"/>
      </w:tabs>
      <w:outlineLvl w:val="3"/>
    </w:pPr>
  </w:style>
  <w:style w:type="paragraph" w:styleId="Heading5">
    <w:name w:val="heading 5"/>
    <w:basedOn w:val="Heading4"/>
    <w:next w:val="Normal"/>
    <w:qFormat/>
    <w:rsid w:val="006E798F"/>
    <w:pPr>
      <w:numPr>
        <w:ilvl w:val="4"/>
      </w:numPr>
      <w:outlineLvl w:val="4"/>
    </w:pPr>
  </w:style>
  <w:style w:type="paragraph" w:styleId="Heading6">
    <w:name w:val="heading 6"/>
    <w:basedOn w:val="Heading4"/>
    <w:next w:val="Normal"/>
    <w:qFormat/>
    <w:rsid w:val="006E798F"/>
    <w:pPr>
      <w:numPr>
        <w:ilvl w:val="5"/>
      </w:numPr>
      <w:tabs>
        <w:tab w:val="clear" w:pos="1021"/>
        <w:tab w:val="clear" w:pos="1191"/>
      </w:tabs>
      <w:outlineLvl w:val="5"/>
    </w:pPr>
  </w:style>
  <w:style w:type="paragraph" w:styleId="Heading7">
    <w:name w:val="heading 7"/>
    <w:basedOn w:val="Heading6"/>
    <w:next w:val="Normal"/>
    <w:qFormat/>
    <w:rsid w:val="006E798F"/>
    <w:pPr>
      <w:numPr>
        <w:ilvl w:val="6"/>
      </w:numPr>
      <w:outlineLvl w:val="6"/>
    </w:pPr>
  </w:style>
  <w:style w:type="paragraph" w:styleId="Heading8">
    <w:name w:val="heading 8"/>
    <w:basedOn w:val="Heading6"/>
    <w:next w:val="Normal"/>
    <w:qFormat/>
    <w:rsid w:val="006E798F"/>
    <w:pPr>
      <w:numPr>
        <w:ilvl w:val="7"/>
      </w:numPr>
      <w:outlineLvl w:val="7"/>
    </w:pPr>
  </w:style>
  <w:style w:type="paragraph" w:styleId="Heading9">
    <w:name w:val="heading 9"/>
    <w:basedOn w:val="Heading6"/>
    <w:next w:val="Normal"/>
    <w:qFormat/>
    <w:rsid w:val="006E798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6E798F"/>
    <w:pPr>
      <w:keepNext/>
      <w:keepLines/>
      <w:spacing w:before="480"/>
      <w:jc w:val="center"/>
    </w:pPr>
    <w:rPr>
      <w:b/>
      <w:sz w:val="28"/>
    </w:rPr>
  </w:style>
  <w:style w:type="character" w:customStyle="1" w:styleId="Appdef">
    <w:name w:val="App_def"/>
    <w:basedOn w:val="DefaultParagraphFont"/>
    <w:rsid w:val="006E798F"/>
    <w:rPr>
      <w:rFonts w:ascii="Times New Roman" w:hAnsi="Times New Roman"/>
      <w:b/>
    </w:rPr>
  </w:style>
  <w:style w:type="character" w:customStyle="1" w:styleId="Appref">
    <w:name w:val="App_ref"/>
    <w:basedOn w:val="DefaultParagraphFont"/>
    <w:rsid w:val="006E798F"/>
  </w:style>
  <w:style w:type="paragraph" w:customStyle="1" w:styleId="AppendixNotitle">
    <w:name w:val="Appendix_No &amp; title"/>
    <w:basedOn w:val="AnnexNotitle"/>
    <w:next w:val="Normal"/>
    <w:rsid w:val="006E798F"/>
  </w:style>
  <w:style w:type="character" w:customStyle="1" w:styleId="Artdef">
    <w:name w:val="Art_def"/>
    <w:basedOn w:val="DefaultParagraphFont"/>
    <w:rsid w:val="006E798F"/>
    <w:rPr>
      <w:rFonts w:ascii="Times New Roman" w:hAnsi="Times New Roman"/>
      <w:b/>
    </w:rPr>
  </w:style>
  <w:style w:type="paragraph" w:customStyle="1" w:styleId="Artheading">
    <w:name w:val="Art_heading"/>
    <w:basedOn w:val="Normal"/>
    <w:next w:val="Normal"/>
    <w:rsid w:val="006E798F"/>
    <w:pPr>
      <w:spacing w:before="480"/>
      <w:jc w:val="center"/>
    </w:pPr>
    <w:rPr>
      <w:b/>
      <w:sz w:val="28"/>
    </w:rPr>
  </w:style>
  <w:style w:type="paragraph" w:customStyle="1" w:styleId="ArtNo">
    <w:name w:val="Art_No"/>
    <w:basedOn w:val="Normal"/>
    <w:next w:val="Normal"/>
    <w:rsid w:val="006E798F"/>
    <w:pPr>
      <w:keepNext/>
      <w:keepLines/>
      <w:spacing w:before="480"/>
      <w:jc w:val="center"/>
    </w:pPr>
    <w:rPr>
      <w:caps/>
      <w:sz w:val="28"/>
    </w:rPr>
  </w:style>
  <w:style w:type="character" w:customStyle="1" w:styleId="Artref">
    <w:name w:val="Art_ref"/>
    <w:basedOn w:val="DefaultParagraphFont"/>
    <w:rsid w:val="006E798F"/>
  </w:style>
  <w:style w:type="paragraph" w:customStyle="1" w:styleId="Arttitle">
    <w:name w:val="Art_title"/>
    <w:basedOn w:val="Normal"/>
    <w:next w:val="Normal"/>
    <w:rsid w:val="006E798F"/>
    <w:pPr>
      <w:keepNext/>
      <w:keepLines/>
      <w:spacing w:before="240"/>
      <w:jc w:val="center"/>
    </w:pPr>
    <w:rPr>
      <w:b/>
      <w:sz w:val="28"/>
    </w:rPr>
  </w:style>
  <w:style w:type="paragraph" w:customStyle="1" w:styleId="ASN1">
    <w:name w:val="ASN.1"/>
    <w:basedOn w:val="Normal"/>
    <w:rsid w:val="006E798F"/>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6E798F"/>
    <w:pPr>
      <w:keepNext/>
      <w:keepLines/>
      <w:spacing w:before="160"/>
      <w:ind w:left="794"/>
    </w:pPr>
    <w:rPr>
      <w:i/>
    </w:rPr>
  </w:style>
  <w:style w:type="paragraph" w:customStyle="1" w:styleId="ChapNo">
    <w:name w:val="Chap_No"/>
    <w:basedOn w:val="Normal"/>
    <w:next w:val="Normal"/>
    <w:rsid w:val="006E798F"/>
    <w:pPr>
      <w:keepNext/>
      <w:keepLines/>
      <w:spacing w:before="480"/>
      <w:jc w:val="center"/>
    </w:pPr>
    <w:rPr>
      <w:b/>
      <w:caps/>
      <w:sz w:val="28"/>
    </w:rPr>
  </w:style>
  <w:style w:type="paragraph" w:customStyle="1" w:styleId="Chaptitle">
    <w:name w:val="Chap_title"/>
    <w:basedOn w:val="Normal"/>
    <w:next w:val="Normal"/>
    <w:rsid w:val="006E798F"/>
    <w:pPr>
      <w:keepNext/>
      <w:keepLines/>
      <w:spacing w:before="240"/>
      <w:jc w:val="center"/>
    </w:pPr>
    <w:rPr>
      <w:b/>
      <w:sz w:val="28"/>
    </w:rPr>
  </w:style>
  <w:style w:type="character" w:styleId="EndnoteReference">
    <w:name w:val="endnote reference"/>
    <w:basedOn w:val="DefaultParagraphFont"/>
    <w:semiHidden/>
    <w:rsid w:val="006E798F"/>
    <w:rPr>
      <w:vertAlign w:val="superscript"/>
    </w:rPr>
  </w:style>
  <w:style w:type="paragraph" w:customStyle="1" w:styleId="enumlev1">
    <w:name w:val="enumlev1"/>
    <w:basedOn w:val="Normal"/>
    <w:rsid w:val="006E798F"/>
    <w:pPr>
      <w:spacing w:before="80"/>
      <w:ind w:left="794" w:hanging="794"/>
    </w:pPr>
  </w:style>
  <w:style w:type="paragraph" w:customStyle="1" w:styleId="enumlev2">
    <w:name w:val="enumlev2"/>
    <w:basedOn w:val="enumlev1"/>
    <w:rsid w:val="006E798F"/>
    <w:pPr>
      <w:ind w:left="1191" w:hanging="397"/>
    </w:pPr>
  </w:style>
  <w:style w:type="paragraph" w:customStyle="1" w:styleId="enumlev3">
    <w:name w:val="enumlev3"/>
    <w:basedOn w:val="enumlev2"/>
    <w:rsid w:val="006E798F"/>
    <w:pPr>
      <w:ind w:left="1588"/>
    </w:pPr>
  </w:style>
  <w:style w:type="paragraph" w:customStyle="1" w:styleId="Equation">
    <w:name w:val="Equation"/>
    <w:basedOn w:val="Normal"/>
    <w:rsid w:val="006E798F"/>
    <w:pPr>
      <w:tabs>
        <w:tab w:val="clear" w:pos="1191"/>
        <w:tab w:val="clear" w:pos="1588"/>
        <w:tab w:val="clear" w:pos="1985"/>
        <w:tab w:val="center" w:pos="4820"/>
        <w:tab w:val="right" w:pos="9639"/>
      </w:tabs>
    </w:pPr>
  </w:style>
  <w:style w:type="paragraph" w:customStyle="1" w:styleId="Equationlegend">
    <w:name w:val="Equation_legend"/>
    <w:basedOn w:val="Normal"/>
    <w:rsid w:val="006E798F"/>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6E798F"/>
    <w:pPr>
      <w:keepNext/>
      <w:keepLines/>
      <w:spacing w:before="240" w:after="120"/>
      <w:jc w:val="center"/>
    </w:pPr>
  </w:style>
  <w:style w:type="paragraph" w:customStyle="1" w:styleId="Figurelegend">
    <w:name w:val="Figure_legend"/>
    <w:basedOn w:val="Normal"/>
    <w:rsid w:val="006E798F"/>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6E798F"/>
    <w:pPr>
      <w:keepLines/>
      <w:spacing w:before="240" w:after="120"/>
      <w:jc w:val="center"/>
    </w:pPr>
    <w:rPr>
      <w:b/>
    </w:rPr>
  </w:style>
  <w:style w:type="paragraph" w:customStyle="1" w:styleId="FigureNoBR">
    <w:name w:val="Figure_No_BR"/>
    <w:basedOn w:val="Normal"/>
    <w:next w:val="Normal"/>
    <w:rsid w:val="006E798F"/>
    <w:pPr>
      <w:keepNext/>
      <w:keepLines/>
      <w:spacing w:before="480" w:after="120"/>
      <w:jc w:val="center"/>
    </w:pPr>
    <w:rPr>
      <w:caps/>
    </w:rPr>
  </w:style>
  <w:style w:type="paragraph" w:customStyle="1" w:styleId="TabletitleBR">
    <w:name w:val="Table_title_BR"/>
    <w:basedOn w:val="Normal"/>
    <w:next w:val="Normal"/>
    <w:rsid w:val="006E798F"/>
    <w:pPr>
      <w:keepNext/>
      <w:keepLines/>
      <w:spacing w:before="0" w:after="120"/>
      <w:jc w:val="center"/>
    </w:pPr>
    <w:rPr>
      <w:b/>
    </w:rPr>
  </w:style>
  <w:style w:type="paragraph" w:customStyle="1" w:styleId="FiguretitleBR">
    <w:name w:val="Figure_title_BR"/>
    <w:basedOn w:val="TabletitleBR"/>
    <w:next w:val="Normal"/>
    <w:rsid w:val="006E798F"/>
    <w:pPr>
      <w:keepNext w:val="0"/>
      <w:spacing w:after="480"/>
    </w:pPr>
  </w:style>
  <w:style w:type="paragraph" w:customStyle="1" w:styleId="Figurewithouttitle">
    <w:name w:val="Figure_without_title"/>
    <w:basedOn w:val="Normal"/>
    <w:next w:val="Normal"/>
    <w:rsid w:val="006E798F"/>
    <w:pPr>
      <w:keepLines/>
      <w:spacing w:before="240" w:after="120"/>
      <w:jc w:val="center"/>
    </w:pPr>
  </w:style>
  <w:style w:type="paragraph" w:styleId="Footer">
    <w:name w:val="footer"/>
    <w:basedOn w:val="Normal"/>
    <w:rsid w:val="006E798F"/>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6E798F"/>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6E798F"/>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semiHidden/>
    <w:rsid w:val="006E798F"/>
    <w:rPr>
      <w:position w:val="6"/>
      <w:sz w:val="18"/>
    </w:rPr>
  </w:style>
  <w:style w:type="paragraph" w:customStyle="1" w:styleId="Note">
    <w:name w:val="Note"/>
    <w:basedOn w:val="Normal"/>
    <w:rsid w:val="006E798F"/>
    <w:pPr>
      <w:spacing w:before="80"/>
    </w:pPr>
  </w:style>
  <w:style w:type="paragraph" w:styleId="FootnoteText">
    <w:name w:val="footnote text"/>
    <w:basedOn w:val="Note"/>
    <w:semiHidden/>
    <w:rsid w:val="006E798F"/>
    <w:pPr>
      <w:keepLines/>
      <w:tabs>
        <w:tab w:val="left" w:pos="255"/>
      </w:tabs>
      <w:ind w:left="255" w:hanging="255"/>
    </w:pPr>
  </w:style>
  <w:style w:type="paragraph" w:customStyle="1" w:styleId="Formal">
    <w:name w:val="Formal"/>
    <w:basedOn w:val="ASN1"/>
    <w:rsid w:val="006E798F"/>
    <w:rPr>
      <w:b w:val="0"/>
    </w:rPr>
  </w:style>
  <w:style w:type="paragraph" w:styleId="Header">
    <w:name w:val="header"/>
    <w:basedOn w:val="Normal"/>
    <w:rsid w:val="006E798F"/>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6E798F"/>
    <w:pPr>
      <w:keepNext/>
      <w:spacing w:before="160"/>
    </w:pPr>
    <w:rPr>
      <w:b/>
    </w:rPr>
  </w:style>
  <w:style w:type="paragraph" w:customStyle="1" w:styleId="Headingi">
    <w:name w:val="Heading_i"/>
    <w:basedOn w:val="Normal"/>
    <w:next w:val="Normal"/>
    <w:rsid w:val="006E798F"/>
    <w:pPr>
      <w:keepNext/>
      <w:spacing w:before="160"/>
    </w:pPr>
    <w:rPr>
      <w:i/>
    </w:rPr>
  </w:style>
  <w:style w:type="paragraph" w:styleId="Index1">
    <w:name w:val="index 1"/>
    <w:basedOn w:val="Normal"/>
    <w:next w:val="Normal"/>
    <w:semiHidden/>
    <w:rsid w:val="006E798F"/>
  </w:style>
  <w:style w:type="paragraph" w:styleId="Index2">
    <w:name w:val="index 2"/>
    <w:basedOn w:val="Normal"/>
    <w:next w:val="Normal"/>
    <w:semiHidden/>
    <w:rsid w:val="006E798F"/>
    <w:pPr>
      <w:ind w:left="283"/>
    </w:pPr>
  </w:style>
  <w:style w:type="paragraph" w:styleId="Index3">
    <w:name w:val="index 3"/>
    <w:basedOn w:val="Normal"/>
    <w:next w:val="Normal"/>
    <w:semiHidden/>
    <w:rsid w:val="006E798F"/>
    <w:pPr>
      <w:ind w:left="566"/>
    </w:pPr>
  </w:style>
  <w:style w:type="paragraph" w:customStyle="1" w:styleId="Normalaftertitle">
    <w:name w:val="Normal_after_title"/>
    <w:basedOn w:val="Normal"/>
    <w:next w:val="Normal"/>
    <w:rsid w:val="006E798F"/>
    <w:pPr>
      <w:spacing w:before="360"/>
    </w:pPr>
  </w:style>
  <w:style w:type="character" w:styleId="PageNumber">
    <w:name w:val="page number"/>
    <w:basedOn w:val="DefaultParagraphFont"/>
    <w:rsid w:val="006E798F"/>
  </w:style>
  <w:style w:type="paragraph" w:customStyle="1" w:styleId="PartNo">
    <w:name w:val="Part_No"/>
    <w:basedOn w:val="Normal"/>
    <w:next w:val="Normal"/>
    <w:rsid w:val="006E798F"/>
    <w:pPr>
      <w:keepNext/>
      <w:keepLines/>
      <w:spacing w:before="480" w:after="80"/>
      <w:jc w:val="center"/>
    </w:pPr>
    <w:rPr>
      <w:caps/>
      <w:sz w:val="28"/>
    </w:rPr>
  </w:style>
  <w:style w:type="paragraph" w:customStyle="1" w:styleId="Partref">
    <w:name w:val="Part_ref"/>
    <w:basedOn w:val="Normal"/>
    <w:next w:val="Normal"/>
    <w:rsid w:val="006E798F"/>
    <w:pPr>
      <w:keepNext/>
      <w:keepLines/>
      <w:spacing w:before="280"/>
      <w:jc w:val="center"/>
    </w:pPr>
  </w:style>
  <w:style w:type="paragraph" w:customStyle="1" w:styleId="Parttitle">
    <w:name w:val="Part_title"/>
    <w:basedOn w:val="Normal"/>
    <w:next w:val="Normalaftertitle"/>
    <w:rsid w:val="006E798F"/>
    <w:pPr>
      <w:keepNext/>
      <w:keepLines/>
      <w:spacing w:before="240" w:after="280"/>
      <w:jc w:val="center"/>
    </w:pPr>
    <w:rPr>
      <w:b/>
      <w:sz w:val="28"/>
    </w:rPr>
  </w:style>
  <w:style w:type="paragraph" w:customStyle="1" w:styleId="Recdate">
    <w:name w:val="Rec_date"/>
    <w:basedOn w:val="Normal"/>
    <w:next w:val="Normalaftertitle"/>
    <w:rsid w:val="006E798F"/>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6E798F"/>
  </w:style>
  <w:style w:type="paragraph" w:customStyle="1" w:styleId="RecNo">
    <w:name w:val="Rec_No"/>
    <w:basedOn w:val="Normal"/>
    <w:next w:val="Normal"/>
    <w:rsid w:val="006E798F"/>
    <w:pPr>
      <w:keepNext/>
      <w:keepLines/>
      <w:spacing w:before="0"/>
    </w:pPr>
    <w:rPr>
      <w:b/>
      <w:sz w:val="28"/>
    </w:rPr>
  </w:style>
  <w:style w:type="paragraph" w:customStyle="1" w:styleId="QuestionNo">
    <w:name w:val="Question_No"/>
    <w:basedOn w:val="RecNo"/>
    <w:next w:val="Normal"/>
    <w:rsid w:val="006E798F"/>
  </w:style>
  <w:style w:type="paragraph" w:customStyle="1" w:styleId="RecNoBR">
    <w:name w:val="Rec_No_BR"/>
    <w:basedOn w:val="Normal"/>
    <w:next w:val="Normal"/>
    <w:rsid w:val="006E798F"/>
    <w:pPr>
      <w:keepNext/>
      <w:keepLines/>
      <w:spacing w:before="480"/>
      <w:jc w:val="center"/>
    </w:pPr>
    <w:rPr>
      <w:caps/>
      <w:sz w:val="28"/>
    </w:rPr>
  </w:style>
  <w:style w:type="paragraph" w:customStyle="1" w:styleId="QuestionNoBR">
    <w:name w:val="Question_No_BR"/>
    <w:basedOn w:val="RecNoBR"/>
    <w:next w:val="Normal"/>
    <w:rsid w:val="006E798F"/>
  </w:style>
  <w:style w:type="paragraph" w:customStyle="1" w:styleId="Recref">
    <w:name w:val="Rec_ref"/>
    <w:basedOn w:val="Normal"/>
    <w:next w:val="Recdate"/>
    <w:rsid w:val="006E798F"/>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6E798F"/>
  </w:style>
  <w:style w:type="paragraph" w:customStyle="1" w:styleId="Rectitle">
    <w:name w:val="Rec_title"/>
    <w:basedOn w:val="Normal"/>
    <w:next w:val="Normalaftertitle"/>
    <w:rsid w:val="006E798F"/>
    <w:pPr>
      <w:keepNext/>
      <w:keepLines/>
      <w:spacing w:before="360"/>
      <w:jc w:val="center"/>
    </w:pPr>
    <w:rPr>
      <w:b/>
      <w:sz w:val="28"/>
    </w:rPr>
  </w:style>
  <w:style w:type="paragraph" w:customStyle="1" w:styleId="Questiontitle">
    <w:name w:val="Question_title"/>
    <w:basedOn w:val="Rectitle"/>
    <w:next w:val="Questionref"/>
    <w:rsid w:val="006E798F"/>
  </w:style>
  <w:style w:type="character" w:customStyle="1" w:styleId="Recdef">
    <w:name w:val="Rec_def"/>
    <w:basedOn w:val="DefaultParagraphFont"/>
    <w:rsid w:val="006E798F"/>
    <w:rPr>
      <w:b/>
    </w:rPr>
  </w:style>
  <w:style w:type="paragraph" w:customStyle="1" w:styleId="Reftext">
    <w:name w:val="Ref_text"/>
    <w:basedOn w:val="Normal"/>
    <w:rsid w:val="006E798F"/>
    <w:pPr>
      <w:ind w:left="794" w:hanging="794"/>
    </w:pPr>
  </w:style>
  <w:style w:type="paragraph" w:customStyle="1" w:styleId="Reftitle">
    <w:name w:val="Ref_title"/>
    <w:basedOn w:val="Normal"/>
    <w:next w:val="Reftext"/>
    <w:rsid w:val="006E798F"/>
    <w:pPr>
      <w:spacing w:before="480"/>
      <w:jc w:val="center"/>
    </w:pPr>
    <w:rPr>
      <w:b/>
    </w:rPr>
  </w:style>
  <w:style w:type="paragraph" w:customStyle="1" w:styleId="Repdate">
    <w:name w:val="Rep_date"/>
    <w:basedOn w:val="Recdate"/>
    <w:next w:val="Normalaftertitle"/>
    <w:rsid w:val="006E798F"/>
  </w:style>
  <w:style w:type="paragraph" w:customStyle="1" w:styleId="RepNo">
    <w:name w:val="Rep_No"/>
    <w:basedOn w:val="RecNo"/>
    <w:next w:val="Normal"/>
    <w:rsid w:val="006E798F"/>
  </w:style>
  <w:style w:type="paragraph" w:customStyle="1" w:styleId="RepNoBR">
    <w:name w:val="Rep_No_BR"/>
    <w:basedOn w:val="RecNoBR"/>
    <w:next w:val="Normal"/>
    <w:rsid w:val="006E798F"/>
  </w:style>
  <w:style w:type="paragraph" w:customStyle="1" w:styleId="Repref">
    <w:name w:val="Rep_ref"/>
    <w:basedOn w:val="Recref"/>
    <w:next w:val="Repdate"/>
    <w:rsid w:val="006E798F"/>
  </w:style>
  <w:style w:type="paragraph" w:customStyle="1" w:styleId="Reptitle">
    <w:name w:val="Rep_title"/>
    <w:basedOn w:val="Rectitle"/>
    <w:next w:val="Repref"/>
    <w:rsid w:val="006E798F"/>
  </w:style>
  <w:style w:type="paragraph" w:customStyle="1" w:styleId="Resdate">
    <w:name w:val="Res_date"/>
    <w:basedOn w:val="Recdate"/>
    <w:next w:val="Normalaftertitle"/>
    <w:rsid w:val="006E798F"/>
  </w:style>
  <w:style w:type="character" w:customStyle="1" w:styleId="Resdef">
    <w:name w:val="Res_def"/>
    <w:basedOn w:val="DefaultParagraphFont"/>
    <w:rsid w:val="006E798F"/>
    <w:rPr>
      <w:rFonts w:ascii="Times New Roman" w:hAnsi="Times New Roman"/>
      <w:b/>
    </w:rPr>
  </w:style>
  <w:style w:type="paragraph" w:customStyle="1" w:styleId="ResNo">
    <w:name w:val="Res_No"/>
    <w:basedOn w:val="RecNo"/>
    <w:next w:val="Normal"/>
    <w:rsid w:val="006E798F"/>
  </w:style>
  <w:style w:type="paragraph" w:customStyle="1" w:styleId="ResNoBR">
    <w:name w:val="Res_No_BR"/>
    <w:basedOn w:val="RecNoBR"/>
    <w:next w:val="Normal"/>
    <w:rsid w:val="006E798F"/>
  </w:style>
  <w:style w:type="paragraph" w:customStyle="1" w:styleId="Resref">
    <w:name w:val="Res_ref"/>
    <w:basedOn w:val="Recref"/>
    <w:next w:val="Resdate"/>
    <w:rsid w:val="006E798F"/>
  </w:style>
  <w:style w:type="paragraph" w:customStyle="1" w:styleId="Restitle">
    <w:name w:val="Res_title"/>
    <w:basedOn w:val="Rectitle"/>
    <w:next w:val="Resref"/>
    <w:rsid w:val="006E798F"/>
  </w:style>
  <w:style w:type="paragraph" w:customStyle="1" w:styleId="Section1">
    <w:name w:val="Section_1"/>
    <w:basedOn w:val="Normal"/>
    <w:next w:val="Normal"/>
    <w:rsid w:val="006E798F"/>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6E798F"/>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6E798F"/>
    <w:pPr>
      <w:keepNext/>
      <w:keepLines/>
      <w:spacing w:before="480" w:after="80"/>
      <w:jc w:val="center"/>
    </w:pPr>
    <w:rPr>
      <w:caps/>
      <w:sz w:val="28"/>
    </w:rPr>
  </w:style>
  <w:style w:type="paragraph" w:customStyle="1" w:styleId="Sectiontitle">
    <w:name w:val="Section_title"/>
    <w:basedOn w:val="Normal"/>
    <w:next w:val="Normalaftertitle"/>
    <w:rsid w:val="006E798F"/>
    <w:pPr>
      <w:keepNext/>
      <w:keepLines/>
      <w:spacing w:before="480" w:after="280"/>
      <w:jc w:val="center"/>
    </w:pPr>
    <w:rPr>
      <w:b/>
      <w:sz w:val="28"/>
    </w:rPr>
  </w:style>
  <w:style w:type="paragraph" w:customStyle="1" w:styleId="Source">
    <w:name w:val="Source"/>
    <w:basedOn w:val="Normal"/>
    <w:next w:val="Normalaftertitle"/>
    <w:rsid w:val="006E798F"/>
    <w:pPr>
      <w:spacing w:before="840" w:after="200"/>
      <w:jc w:val="center"/>
    </w:pPr>
    <w:rPr>
      <w:b/>
      <w:sz w:val="28"/>
    </w:rPr>
  </w:style>
  <w:style w:type="paragraph" w:customStyle="1" w:styleId="SpecialFooter">
    <w:name w:val="Special Footer"/>
    <w:basedOn w:val="Footer"/>
    <w:rsid w:val="006E798F"/>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6E798F"/>
    <w:rPr>
      <w:b/>
      <w:color w:val="auto"/>
    </w:rPr>
  </w:style>
  <w:style w:type="paragraph" w:customStyle="1" w:styleId="Tablehead">
    <w:name w:val="Table_head"/>
    <w:basedOn w:val="Normal"/>
    <w:next w:val="Normal"/>
    <w:uiPriority w:val="99"/>
    <w:rsid w:val="006E798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6E798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6E798F"/>
    <w:pPr>
      <w:keepNext/>
      <w:keepLines/>
      <w:spacing w:before="360" w:after="120"/>
      <w:jc w:val="center"/>
    </w:pPr>
    <w:rPr>
      <w:b/>
    </w:rPr>
  </w:style>
  <w:style w:type="paragraph" w:customStyle="1" w:styleId="TableNoBR">
    <w:name w:val="Table_No_BR"/>
    <w:basedOn w:val="Normal"/>
    <w:next w:val="TabletitleBR"/>
    <w:rsid w:val="006E798F"/>
    <w:pPr>
      <w:keepNext/>
      <w:spacing w:before="560" w:after="120"/>
      <w:jc w:val="center"/>
    </w:pPr>
    <w:rPr>
      <w:caps/>
    </w:rPr>
  </w:style>
  <w:style w:type="paragraph" w:customStyle="1" w:styleId="Tableref">
    <w:name w:val="Table_ref"/>
    <w:basedOn w:val="Normal"/>
    <w:next w:val="TabletitleBR"/>
    <w:rsid w:val="006E798F"/>
    <w:pPr>
      <w:keepNext/>
      <w:spacing w:before="0" w:after="120"/>
      <w:jc w:val="center"/>
    </w:pPr>
  </w:style>
  <w:style w:type="paragraph" w:customStyle="1" w:styleId="Tabletext">
    <w:name w:val="Table_text"/>
    <w:basedOn w:val="Normal"/>
    <w:uiPriority w:val="99"/>
    <w:rsid w:val="006E798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6E798F"/>
    <w:pPr>
      <w:tabs>
        <w:tab w:val="clear" w:pos="794"/>
        <w:tab w:val="clear" w:pos="1191"/>
        <w:tab w:val="clear" w:pos="1588"/>
        <w:tab w:val="clear" w:pos="1985"/>
        <w:tab w:val="left" w:pos="567"/>
        <w:tab w:val="left" w:pos="1134"/>
        <w:tab w:val="left" w:pos="1701"/>
        <w:tab w:val="left" w:pos="2268"/>
        <w:tab w:val="left" w:pos="2835"/>
      </w:tabs>
      <w:spacing w:before="240" w:after="0"/>
    </w:pPr>
    <w:rPr>
      <w:caps/>
      <w:sz w:val="24"/>
    </w:rPr>
  </w:style>
  <w:style w:type="paragraph" w:customStyle="1" w:styleId="Title2">
    <w:name w:val="Title 2"/>
    <w:basedOn w:val="Title1"/>
    <w:next w:val="Normal"/>
    <w:rsid w:val="006E798F"/>
  </w:style>
  <w:style w:type="paragraph" w:customStyle="1" w:styleId="Title3">
    <w:name w:val="Title 3"/>
    <w:basedOn w:val="Title2"/>
    <w:next w:val="Normal"/>
    <w:rsid w:val="006E798F"/>
    <w:rPr>
      <w:caps w:val="0"/>
    </w:rPr>
  </w:style>
  <w:style w:type="paragraph" w:customStyle="1" w:styleId="Title4">
    <w:name w:val="Title 4"/>
    <w:basedOn w:val="Title3"/>
    <w:next w:val="Heading1"/>
    <w:rsid w:val="006E798F"/>
    <w:rPr>
      <w:b w:val="0"/>
    </w:rPr>
  </w:style>
  <w:style w:type="paragraph" w:customStyle="1" w:styleId="toc0">
    <w:name w:val="toc 0"/>
    <w:basedOn w:val="Normal"/>
    <w:next w:val="TOC1"/>
    <w:rsid w:val="006E798F"/>
    <w:pPr>
      <w:tabs>
        <w:tab w:val="clear" w:pos="794"/>
        <w:tab w:val="clear" w:pos="1191"/>
        <w:tab w:val="clear" w:pos="1588"/>
        <w:tab w:val="clear" w:pos="1985"/>
        <w:tab w:val="right" w:pos="9639"/>
      </w:tabs>
    </w:pPr>
    <w:rPr>
      <w:b/>
    </w:rPr>
  </w:style>
  <w:style w:type="paragraph" w:styleId="TOC1">
    <w:name w:val="toc 1"/>
    <w:basedOn w:val="Normal"/>
    <w:semiHidden/>
    <w:rsid w:val="006E798F"/>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6E798F"/>
    <w:pPr>
      <w:spacing w:before="80"/>
      <w:ind w:left="1531" w:hanging="851"/>
    </w:pPr>
  </w:style>
  <w:style w:type="paragraph" w:styleId="TOC3">
    <w:name w:val="toc 3"/>
    <w:basedOn w:val="TOC2"/>
    <w:semiHidden/>
    <w:rsid w:val="006E798F"/>
  </w:style>
  <w:style w:type="paragraph" w:styleId="TOC4">
    <w:name w:val="toc 4"/>
    <w:basedOn w:val="TOC3"/>
    <w:semiHidden/>
    <w:rsid w:val="006E798F"/>
  </w:style>
  <w:style w:type="paragraph" w:styleId="TOC5">
    <w:name w:val="toc 5"/>
    <w:basedOn w:val="TOC4"/>
    <w:semiHidden/>
    <w:rsid w:val="006E798F"/>
  </w:style>
  <w:style w:type="paragraph" w:styleId="TOC6">
    <w:name w:val="toc 6"/>
    <w:basedOn w:val="TOC4"/>
    <w:semiHidden/>
    <w:rsid w:val="006E798F"/>
  </w:style>
  <w:style w:type="paragraph" w:styleId="TOC7">
    <w:name w:val="toc 7"/>
    <w:basedOn w:val="TOC4"/>
    <w:semiHidden/>
    <w:rsid w:val="006E798F"/>
  </w:style>
  <w:style w:type="paragraph" w:styleId="TOC8">
    <w:name w:val="toc 8"/>
    <w:basedOn w:val="TOC4"/>
    <w:semiHidden/>
    <w:rsid w:val="006E798F"/>
  </w:style>
  <w:style w:type="paragraph" w:styleId="TOC9">
    <w:name w:val="toc 9"/>
    <w:basedOn w:val="Normal"/>
    <w:next w:val="Normal"/>
    <w:autoRedefine/>
    <w:semiHidden/>
    <w:rsid w:val="006E798F"/>
    <w:pPr>
      <w:tabs>
        <w:tab w:val="clear" w:pos="794"/>
        <w:tab w:val="clear" w:pos="1191"/>
        <w:tab w:val="clear" w:pos="1588"/>
        <w:tab w:val="clear" w:pos="1985"/>
      </w:tabs>
      <w:ind w:left="1920"/>
    </w:pPr>
  </w:style>
  <w:style w:type="paragraph" w:customStyle="1" w:styleId="ListBullet-noindent">
    <w:name w:val="List Bullet - no indent"/>
    <w:basedOn w:val="Normal"/>
    <w:rsid w:val="006E798F"/>
    <w:pPr>
      <w:numPr>
        <w:numId w:val="10"/>
      </w:numPr>
    </w:pPr>
  </w:style>
  <w:style w:type="character" w:styleId="Hyperlink">
    <w:name w:val="Hyperlink"/>
    <w:basedOn w:val="DefaultParagraphFont"/>
    <w:rsid w:val="006E798F"/>
    <w:rPr>
      <w:color w:val="0000FF"/>
      <w:u w:val="single"/>
    </w:rPr>
  </w:style>
  <w:style w:type="paragraph" w:styleId="Caption">
    <w:name w:val="caption"/>
    <w:aliases w:val="cap"/>
    <w:basedOn w:val="Normal"/>
    <w:next w:val="Normal"/>
    <w:qFormat/>
    <w:rsid w:val="006E798F"/>
    <w:pPr>
      <w:spacing w:after="120"/>
      <w:jc w:val="center"/>
    </w:pPr>
    <w:rPr>
      <w:b/>
      <w:bCs/>
    </w:rPr>
  </w:style>
  <w:style w:type="paragraph" w:styleId="BodyTextIndent2">
    <w:name w:val="Body Text Indent 2"/>
    <w:basedOn w:val="Normal"/>
    <w:rsid w:val="006E798F"/>
    <w:pPr>
      <w:tabs>
        <w:tab w:val="clear" w:pos="794"/>
        <w:tab w:val="clear" w:pos="1191"/>
        <w:tab w:val="clear" w:pos="1588"/>
        <w:tab w:val="clear" w:pos="1985"/>
      </w:tabs>
      <w:overflowPunct/>
      <w:autoSpaceDE/>
      <w:autoSpaceDN/>
      <w:adjustRightInd/>
      <w:ind w:right="1944" w:firstLine="720"/>
      <w:textAlignment w:val="auto"/>
    </w:pPr>
    <w:rPr>
      <w:szCs w:val="24"/>
      <w:lang w:val="en-US"/>
    </w:rPr>
  </w:style>
  <w:style w:type="paragraph" w:styleId="BodyText">
    <w:name w:val="Body Text"/>
    <w:basedOn w:val="Normal"/>
    <w:rsid w:val="006E798F"/>
    <w:rPr>
      <w:b/>
      <w:smallCaps/>
      <w:sz w:val="26"/>
    </w:rPr>
  </w:style>
  <w:style w:type="paragraph" w:customStyle="1" w:styleId="FigureNo">
    <w:name w:val="Figure_No"/>
    <w:basedOn w:val="Normal"/>
    <w:next w:val="Normal"/>
    <w:rsid w:val="006E798F"/>
    <w:pPr>
      <w:keepNext/>
      <w:keepLines/>
      <w:spacing w:before="240" w:after="120"/>
      <w:jc w:val="center"/>
    </w:pPr>
    <w:rPr>
      <w:caps/>
    </w:rPr>
  </w:style>
  <w:style w:type="paragraph" w:styleId="BodyTextIndent">
    <w:name w:val="Body Text Indent"/>
    <w:basedOn w:val="Normal"/>
    <w:rsid w:val="006E798F"/>
    <w:pPr>
      <w:tabs>
        <w:tab w:val="clear" w:pos="794"/>
        <w:tab w:val="clear" w:pos="1191"/>
        <w:tab w:val="clear" w:pos="1985"/>
      </w:tabs>
      <w:ind w:left="207"/>
    </w:pPr>
    <w:rPr>
      <w:color w:val="FF0000"/>
    </w:rPr>
  </w:style>
  <w:style w:type="paragraph" w:customStyle="1" w:styleId="RecTitle0">
    <w:name w:val="Rec Title"/>
    <w:basedOn w:val="Rec"/>
    <w:next w:val="RecRef0"/>
    <w:rsid w:val="006E798F"/>
    <w:pPr>
      <w:spacing w:before="240"/>
      <w:jc w:val="center"/>
    </w:pPr>
    <w:rPr>
      <w:caps/>
      <w:sz w:val="24"/>
    </w:rPr>
  </w:style>
  <w:style w:type="paragraph" w:customStyle="1" w:styleId="Rec">
    <w:name w:val="Rec #"/>
    <w:basedOn w:val="Normal"/>
    <w:next w:val="headfoot"/>
    <w:rsid w:val="006E798F"/>
    <w:pPr>
      <w:keepNext/>
      <w:keepLines/>
      <w:tabs>
        <w:tab w:val="clear" w:pos="794"/>
        <w:tab w:val="clear" w:pos="1191"/>
        <w:tab w:val="clear" w:pos="1588"/>
        <w:tab w:val="clear" w:pos="1985"/>
        <w:tab w:val="left" w:pos="-1530"/>
        <w:tab w:val="left" w:pos="720"/>
        <w:tab w:val="left" w:pos="1440"/>
        <w:tab w:val="left" w:pos="2160"/>
        <w:tab w:val="left" w:pos="2880"/>
        <w:tab w:val="left" w:pos="3600"/>
        <w:tab w:val="left" w:pos="4320"/>
        <w:tab w:val="left" w:pos="5040"/>
      </w:tabs>
      <w:spacing w:before="720"/>
    </w:pPr>
    <w:rPr>
      <w:b/>
      <w:sz w:val="20"/>
      <w:lang w:val="en-US"/>
    </w:rPr>
  </w:style>
  <w:style w:type="paragraph" w:customStyle="1" w:styleId="headfoot">
    <w:name w:val="head_foot"/>
    <w:basedOn w:val="Normal"/>
    <w:next w:val="RecTitle0"/>
    <w:rsid w:val="006E798F"/>
    <w:pPr>
      <w:tabs>
        <w:tab w:val="clear" w:pos="794"/>
        <w:tab w:val="clear" w:pos="1191"/>
        <w:tab w:val="clear" w:pos="1588"/>
        <w:tab w:val="clear" w:pos="1985"/>
        <w:tab w:val="left" w:pos="-1530"/>
        <w:tab w:val="left" w:pos="720"/>
        <w:tab w:val="left" w:pos="1440"/>
        <w:tab w:val="left" w:pos="2160"/>
        <w:tab w:val="left" w:pos="2880"/>
        <w:tab w:val="left" w:pos="3600"/>
        <w:tab w:val="left" w:pos="4320"/>
        <w:tab w:val="left" w:pos="5040"/>
      </w:tabs>
      <w:spacing w:before="0"/>
      <w:jc w:val="both"/>
    </w:pPr>
    <w:rPr>
      <w:color w:val="FF0000"/>
      <w:sz w:val="8"/>
      <w:lang w:val="en-US"/>
    </w:rPr>
  </w:style>
  <w:style w:type="paragraph" w:customStyle="1" w:styleId="RecRef0">
    <w:name w:val="Rec Ref"/>
    <w:basedOn w:val="Normal"/>
    <w:next w:val="Heading1"/>
    <w:rsid w:val="006E798F"/>
    <w:pPr>
      <w:tabs>
        <w:tab w:val="clear" w:pos="794"/>
        <w:tab w:val="clear" w:pos="1191"/>
        <w:tab w:val="clear" w:pos="1588"/>
        <w:tab w:val="clear" w:pos="1985"/>
        <w:tab w:val="left" w:pos="-1530"/>
        <w:tab w:val="left" w:pos="720"/>
        <w:tab w:val="left" w:pos="1440"/>
        <w:tab w:val="left" w:pos="2160"/>
        <w:tab w:val="left" w:pos="2880"/>
        <w:tab w:val="left" w:pos="3600"/>
        <w:tab w:val="left" w:pos="4320"/>
        <w:tab w:val="left" w:pos="5040"/>
      </w:tabs>
      <w:jc w:val="center"/>
    </w:pPr>
    <w:rPr>
      <w:i/>
      <w:sz w:val="20"/>
      <w:lang w:val="en-US"/>
    </w:rPr>
  </w:style>
  <w:style w:type="paragraph" w:customStyle="1" w:styleId="RecRef1">
    <w:name w:val="Rec_Ref"/>
    <w:basedOn w:val="Normal"/>
    <w:next w:val="Heading1"/>
    <w:rsid w:val="006E798F"/>
    <w:pPr>
      <w:keepNext/>
      <w:keepLines/>
      <w:spacing w:before="136"/>
      <w:jc w:val="center"/>
    </w:pPr>
    <w:rPr>
      <w:i/>
    </w:rPr>
  </w:style>
  <w:style w:type="paragraph" w:customStyle="1" w:styleId="RefText0">
    <w:name w:val="Ref_Text"/>
    <w:basedOn w:val="Normal"/>
    <w:rsid w:val="006E798F"/>
    <w:pPr>
      <w:spacing w:before="136"/>
      <w:ind w:left="794" w:hanging="794"/>
      <w:jc w:val="both"/>
    </w:pPr>
  </w:style>
  <w:style w:type="character" w:styleId="CommentReference">
    <w:name w:val="annotation reference"/>
    <w:basedOn w:val="DefaultParagraphFont"/>
    <w:semiHidden/>
    <w:rsid w:val="006E798F"/>
    <w:rPr>
      <w:sz w:val="16"/>
    </w:rPr>
  </w:style>
  <w:style w:type="paragraph" w:customStyle="1" w:styleId="Table">
    <w:name w:val="Table_#"/>
    <w:basedOn w:val="Normal"/>
    <w:next w:val="TableTitle"/>
    <w:rsid w:val="006E798F"/>
    <w:pPr>
      <w:keepNext/>
      <w:spacing w:before="480" w:after="113"/>
      <w:jc w:val="center"/>
    </w:pPr>
    <w:rPr>
      <w:caps/>
    </w:rPr>
  </w:style>
  <w:style w:type="paragraph" w:customStyle="1" w:styleId="TableTitle">
    <w:name w:val="Table_Title"/>
    <w:basedOn w:val="Table"/>
    <w:next w:val="TableText0"/>
    <w:rsid w:val="006E798F"/>
    <w:pPr>
      <w:spacing w:before="0"/>
    </w:pPr>
    <w:rPr>
      <w:b/>
      <w:caps w:val="0"/>
    </w:rPr>
  </w:style>
  <w:style w:type="paragraph" w:customStyle="1" w:styleId="TableText0">
    <w:name w:val="Table_Text"/>
    <w:basedOn w:val="Normal"/>
    <w:rsid w:val="006E798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57" w:after="57"/>
    </w:pPr>
    <w:rPr>
      <w:sz w:val="20"/>
    </w:rPr>
  </w:style>
  <w:style w:type="paragraph" w:customStyle="1" w:styleId="TableHead0">
    <w:name w:val="Table_Head"/>
    <w:basedOn w:val="TableText0"/>
    <w:rsid w:val="006E798F"/>
    <w:pPr>
      <w:spacing w:before="113" w:after="113"/>
      <w:jc w:val="center"/>
    </w:pPr>
  </w:style>
  <w:style w:type="paragraph" w:customStyle="1" w:styleId="Figure0">
    <w:name w:val="Figure_#"/>
    <w:basedOn w:val="Table"/>
    <w:next w:val="FigureTitle"/>
    <w:rsid w:val="006E798F"/>
  </w:style>
  <w:style w:type="paragraph" w:customStyle="1" w:styleId="FigureTitle">
    <w:name w:val="Figure_Title"/>
    <w:basedOn w:val="TableTitle"/>
    <w:next w:val="Normal"/>
    <w:rsid w:val="006E798F"/>
    <w:pPr>
      <w:keepNext w:val="0"/>
      <w:keepLines/>
      <w:spacing w:after="480"/>
    </w:pPr>
  </w:style>
  <w:style w:type="paragraph" w:customStyle="1" w:styleId="TableLegend0">
    <w:name w:val="Table_Legend"/>
    <w:basedOn w:val="TableText0"/>
    <w:rsid w:val="006E798F"/>
    <w:pPr>
      <w:spacing w:before="37" w:after="20"/>
      <w:ind w:left="284" w:hanging="284"/>
      <w:jc w:val="both"/>
    </w:pPr>
  </w:style>
  <w:style w:type="paragraph" w:customStyle="1" w:styleId="Blanc">
    <w:name w:val="Blanc"/>
    <w:basedOn w:val="TableTitle"/>
    <w:next w:val="TableText0"/>
    <w:rsid w:val="006E798F"/>
    <w:pPr>
      <w:tabs>
        <w:tab w:val="clear" w:pos="794"/>
        <w:tab w:val="clear" w:pos="1191"/>
        <w:tab w:val="clear" w:pos="1588"/>
        <w:tab w:val="clear" w:pos="1985"/>
      </w:tabs>
      <w:spacing w:after="57" w:line="12" w:lineRule="atLeast"/>
    </w:pPr>
    <w:rPr>
      <w:sz w:val="8"/>
      <w:lang w:val="en-US"/>
    </w:rPr>
  </w:style>
  <w:style w:type="paragraph" w:customStyle="1" w:styleId="EquationLegend0">
    <w:name w:val="Equation_Legend"/>
    <w:basedOn w:val="Normal"/>
    <w:rsid w:val="006E798F"/>
    <w:pPr>
      <w:tabs>
        <w:tab w:val="clear" w:pos="794"/>
        <w:tab w:val="clear" w:pos="1191"/>
        <w:tab w:val="clear" w:pos="1588"/>
        <w:tab w:val="clear" w:pos="1985"/>
        <w:tab w:val="right" w:pos="1531"/>
        <w:tab w:val="left" w:pos="1701"/>
      </w:tabs>
      <w:spacing w:before="86"/>
      <w:ind w:left="1701" w:hanging="1701"/>
    </w:pPr>
  </w:style>
  <w:style w:type="paragraph" w:customStyle="1" w:styleId="Appendix">
    <w:name w:val="Appendix_#"/>
    <w:basedOn w:val="Annex"/>
    <w:next w:val="AppendixTitle"/>
    <w:rsid w:val="006E798F"/>
  </w:style>
  <w:style w:type="paragraph" w:customStyle="1" w:styleId="Annex">
    <w:name w:val="Annex_#"/>
    <w:basedOn w:val="Normal"/>
    <w:next w:val="AnnexTitle"/>
    <w:rsid w:val="006E798F"/>
    <w:pPr>
      <w:keepNext/>
      <w:keepLines/>
      <w:spacing w:before="480" w:after="68"/>
      <w:jc w:val="center"/>
    </w:pPr>
    <w:rPr>
      <w:b/>
    </w:rPr>
  </w:style>
  <w:style w:type="paragraph" w:customStyle="1" w:styleId="AnnexTitle">
    <w:name w:val="Annex_Title"/>
    <w:basedOn w:val="Normal"/>
    <w:next w:val="AnnexRef"/>
    <w:rsid w:val="006E798F"/>
    <w:pPr>
      <w:keepNext/>
      <w:keepLines/>
      <w:spacing w:before="80" w:after="20"/>
      <w:jc w:val="center"/>
    </w:pPr>
    <w:rPr>
      <w:b/>
    </w:rPr>
  </w:style>
  <w:style w:type="paragraph" w:customStyle="1" w:styleId="AnnexRef">
    <w:name w:val="Annex_Ref"/>
    <w:basedOn w:val="Normal"/>
    <w:next w:val="Normalaftertitle0"/>
    <w:rsid w:val="006E798F"/>
    <w:pPr>
      <w:keepNext/>
      <w:keepLines/>
      <w:spacing w:before="0"/>
      <w:jc w:val="center"/>
    </w:pPr>
  </w:style>
  <w:style w:type="paragraph" w:customStyle="1" w:styleId="Normalaftertitle0">
    <w:name w:val="Normal after title"/>
    <w:basedOn w:val="Normal"/>
    <w:next w:val="Normal"/>
    <w:rsid w:val="006E798F"/>
    <w:pPr>
      <w:spacing w:before="313"/>
      <w:jc w:val="both"/>
    </w:pPr>
  </w:style>
  <w:style w:type="paragraph" w:customStyle="1" w:styleId="AppendixTitle">
    <w:name w:val="Appendix_Title"/>
    <w:basedOn w:val="AnnexTitle"/>
    <w:next w:val="AppendixRef"/>
    <w:rsid w:val="006E798F"/>
  </w:style>
  <w:style w:type="paragraph" w:customStyle="1" w:styleId="AppendixRef">
    <w:name w:val="Appendix_Ref"/>
    <w:basedOn w:val="AnnexRef"/>
    <w:next w:val="Normalaftertitle0"/>
    <w:rsid w:val="006E798F"/>
  </w:style>
  <w:style w:type="paragraph" w:styleId="CommentText">
    <w:name w:val="annotation text"/>
    <w:basedOn w:val="Normal"/>
    <w:semiHidden/>
    <w:rsid w:val="006E798F"/>
    <w:pPr>
      <w:spacing w:before="136"/>
      <w:jc w:val="both"/>
    </w:pPr>
    <w:rPr>
      <w:sz w:val="20"/>
    </w:rPr>
  </w:style>
  <w:style w:type="paragraph" w:customStyle="1" w:styleId="TableNoTitle0">
    <w:name w:val="Table_NoTitle"/>
    <w:basedOn w:val="Normal"/>
    <w:next w:val="Tablehead"/>
    <w:uiPriority w:val="99"/>
    <w:rsid w:val="006E798F"/>
    <w:pPr>
      <w:keepNext/>
      <w:keepLines/>
      <w:spacing w:before="360" w:after="120"/>
      <w:jc w:val="center"/>
    </w:pPr>
    <w:rPr>
      <w:b/>
    </w:rPr>
  </w:style>
  <w:style w:type="paragraph" w:customStyle="1" w:styleId="FigureNoTitle0">
    <w:name w:val="Figure_NoTitle"/>
    <w:basedOn w:val="Normal"/>
    <w:next w:val="Normalaftertitle"/>
    <w:rsid w:val="006E798F"/>
    <w:pPr>
      <w:keepLines/>
      <w:spacing w:before="240" w:after="120"/>
      <w:jc w:val="center"/>
    </w:pPr>
    <w:rPr>
      <w:b/>
    </w:rPr>
  </w:style>
  <w:style w:type="character" w:styleId="FollowedHyperlink">
    <w:name w:val="FollowedHyperlink"/>
    <w:basedOn w:val="DefaultParagraphFont"/>
    <w:rsid w:val="006E798F"/>
    <w:rPr>
      <w:color w:val="800080"/>
      <w:u w:val="single"/>
    </w:rPr>
  </w:style>
  <w:style w:type="table" w:styleId="TableGrid">
    <w:name w:val="Table Grid"/>
    <w:basedOn w:val="TableNormal"/>
    <w:rsid w:val="00F628E6"/>
    <w:pPr>
      <w:tabs>
        <w:tab w:val="left" w:pos="794"/>
        <w:tab w:val="left" w:pos="1191"/>
        <w:tab w:val="left" w:pos="1588"/>
        <w:tab w:val="left" w:pos="1985"/>
      </w:tabs>
      <w:overflowPunct w:val="0"/>
      <w:autoSpaceDE w:val="0"/>
      <w:autoSpaceDN w:val="0"/>
      <w:adjustRightInd w:val="0"/>
      <w:spacing w:before="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35879"/>
    <w:pPr>
      <w:spacing w:before="0"/>
    </w:pPr>
    <w:rPr>
      <w:rFonts w:ascii="Tahoma" w:hAnsi="Tahoma" w:cs="Tahoma"/>
      <w:sz w:val="16"/>
      <w:szCs w:val="16"/>
    </w:rPr>
  </w:style>
  <w:style w:type="character" w:customStyle="1" w:styleId="BalloonTextChar">
    <w:name w:val="Balloon Text Char"/>
    <w:basedOn w:val="DefaultParagraphFont"/>
    <w:link w:val="BalloonText"/>
    <w:rsid w:val="00C35879"/>
    <w:rPr>
      <w:rFonts w:ascii="Tahoma" w:hAnsi="Tahoma" w:cs="Tahoma"/>
      <w:sz w:val="16"/>
      <w:szCs w:val="16"/>
      <w:lang w:val="en-GB"/>
    </w:rPr>
  </w:style>
  <w:style w:type="paragraph" w:styleId="PlainText">
    <w:name w:val="Plain Text"/>
    <w:basedOn w:val="Normal"/>
    <w:link w:val="PlainTextChar"/>
    <w:uiPriority w:val="99"/>
    <w:unhideWhenUsed/>
    <w:rsid w:val="00D63271"/>
    <w:pPr>
      <w:tabs>
        <w:tab w:val="clear" w:pos="794"/>
        <w:tab w:val="clear" w:pos="1191"/>
        <w:tab w:val="clear" w:pos="1588"/>
        <w:tab w:val="clear" w:pos="1985"/>
      </w:tabs>
      <w:overflowPunct/>
      <w:autoSpaceDE/>
      <w:autoSpaceDN/>
      <w:adjustRightInd/>
      <w:spacing w:before="0"/>
      <w:textAlignment w:val="auto"/>
    </w:pPr>
    <w:rPr>
      <w:rFonts w:ascii="Consolas" w:eastAsia="SimSun" w:hAnsi="Consolas"/>
      <w:sz w:val="21"/>
      <w:szCs w:val="21"/>
    </w:rPr>
  </w:style>
  <w:style w:type="character" w:customStyle="1" w:styleId="PlainTextChar">
    <w:name w:val="Plain Text Char"/>
    <w:basedOn w:val="DefaultParagraphFont"/>
    <w:link w:val="PlainText"/>
    <w:uiPriority w:val="99"/>
    <w:rsid w:val="00D63271"/>
    <w:rPr>
      <w:rFonts w:ascii="Consolas" w:eastAsia="SimSun" w:hAnsi="Consolas"/>
      <w:sz w:val="21"/>
      <w:szCs w:val="21"/>
      <w:lang w:val="en-GB"/>
    </w:rPr>
  </w:style>
  <w:style w:type="paragraph" w:styleId="NormalWeb">
    <w:name w:val="Normal (Web)"/>
    <w:basedOn w:val="Normal"/>
    <w:uiPriority w:val="99"/>
    <w:rsid w:val="001B2BF1"/>
    <w:pPr>
      <w:tabs>
        <w:tab w:val="clear" w:pos="794"/>
        <w:tab w:val="clear" w:pos="1191"/>
        <w:tab w:val="clear" w:pos="1588"/>
        <w:tab w:val="clear" w:pos="1985"/>
      </w:tabs>
      <w:overflowPunct/>
      <w:autoSpaceDE/>
      <w:autoSpaceDN/>
      <w:adjustRightInd/>
      <w:spacing w:beforeLines="1" w:afterLines="1"/>
      <w:textAlignment w:val="auto"/>
    </w:pPr>
    <w:rPr>
      <w:rFonts w:ascii="Times" w:hAnsi="Times"/>
      <w:sz w:val="20"/>
      <w:lang w:val="en-US"/>
    </w:rPr>
  </w:style>
  <w:style w:type="paragraph" w:customStyle="1" w:styleId="Docnumber">
    <w:name w:val="Docnumber"/>
    <w:basedOn w:val="Normal"/>
    <w:link w:val="DocnumberChar"/>
    <w:rsid w:val="000D1C5B"/>
    <w:pPr>
      <w:jc w:val="right"/>
    </w:pPr>
    <w:rPr>
      <w:b/>
      <w:bCs/>
      <w:sz w:val="40"/>
    </w:rPr>
  </w:style>
  <w:style w:type="character" w:customStyle="1" w:styleId="DocnumberChar">
    <w:name w:val="Docnumber Char"/>
    <w:basedOn w:val="DefaultParagraphFont"/>
    <w:link w:val="Docnumber"/>
    <w:rsid w:val="000D1C5B"/>
    <w:rPr>
      <w:b/>
      <w:bCs/>
      <w:sz w:val="40"/>
      <w:lang w:val="en-GB"/>
    </w:rPr>
  </w:style>
  <w:style w:type="character" w:customStyle="1" w:styleId="Heading1Char">
    <w:name w:val="Heading 1 Char"/>
    <w:aliases w:val="h1 Char,1st level Char,toc1 Char,l1 Char,I1 Char,1 Char,AboutDocument Char,Gesamzüberschrift Char,Test Char"/>
    <w:basedOn w:val="DefaultParagraphFont"/>
    <w:link w:val="Heading1"/>
    <w:rsid w:val="00D76B66"/>
    <w:rPr>
      <w:b/>
      <w:sz w:val="24"/>
      <w:lang w:val="en-GB"/>
    </w:rPr>
  </w:style>
  <w:style w:type="character" w:customStyle="1" w:styleId="Heading3Char">
    <w:name w:val="Heading 3 Char"/>
    <w:basedOn w:val="DefaultParagraphFont"/>
    <w:link w:val="Heading3"/>
    <w:rsid w:val="00D76B66"/>
    <w:rPr>
      <w:b/>
      <w:sz w:val="24"/>
      <w:lang w:val="en-GB"/>
    </w:rPr>
  </w:style>
  <w:style w:type="character" w:customStyle="1" w:styleId="Heading4Char">
    <w:name w:val="Heading 4 Char"/>
    <w:basedOn w:val="DefaultParagraphFont"/>
    <w:link w:val="Heading4"/>
    <w:rsid w:val="00D76B66"/>
    <w:rPr>
      <w:b/>
      <w:sz w:val="24"/>
      <w:lang w:val="en-GB"/>
    </w:rPr>
  </w:style>
  <w:style w:type="paragraph" w:customStyle="1" w:styleId="AppendixNoTitle0">
    <w:name w:val="Appendix_NoTitle"/>
    <w:basedOn w:val="Normal"/>
    <w:next w:val="Normalaftertitle"/>
    <w:rsid w:val="0095190A"/>
    <w:pPr>
      <w:keepNext/>
      <w:keepLines/>
      <w:spacing w:before="720"/>
      <w:jc w:val="center"/>
    </w:pPr>
    <w:rPr>
      <w:b/>
      <w:sz w:val="28"/>
    </w:rPr>
  </w:style>
  <w:style w:type="paragraph" w:customStyle="1" w:styleId="AnnexNoTitle0">
    <w:name w:val="Annex_NoTitle"/>
    <w:basedOn w:val="Normal"/>
    <w:next w:val="Normalaftertitle"/>
    <w:rsid w:val="0095190A"/>
    <w:pPr>
      <w:keepNext/>
      <w:keepLines/>
      <w:spacing w:before="720"/>
      <w:jc w:val="center"/>
    </w:pPr>
    <w:rPr>
      <w:b/>
      <w:sz w:val="28"/>
    </w:rPr>
  </w:style>
  <w:style w:type="paragraph" w:styleId="ListParagraph">
    <w:name w:val="List Paragraph"/>
    <w:basedOn w:val="Normal"/>
    <w:uiPriority w:val="34"/>
    <w:qFormat/>
    <w:rsid w:val="00552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605488">
      <w:bodyDiv w:val="1"/>
      <w:marLeft w:val="0"/>
      <w:marRight w:val="0"/>
      <w:marTop w:val="0"/>
      <w:marBottom w:val="0"/>
      <w:divBdr>
        <w:top w:val="none" w:sz="0" w:space="0" w:color="auto"/>
        <w:left w:val="none" w:sz="0" w:space="0" w:color="auto"/>
        <w:bottom w:val="none" w:sz="0" w:space="0" w:color="auto"/>
        <w:right w:val="none" w:sz="0" w:space="0" w:color="auto"/>
      </w:divBdr>
      <w:divsChild>
        <w:div w:id="1701392426">
          <w:marLeft w:val="0"/>
          <w:marRight w:val="0"/>
          <w:marTop w:val="0"/>
          <w:marBottom w:val="0"/>
          <w:divBdr>
            <w:top w:val="none" w:sz="0" w:space="0" w:color="auto"/>
            <w:left w:val="none" w:sz="0" w:space="0" w:color="auto"/>
            <w:bottom w:val="none" w:sz="0" w:space="0" w:color="auto"/>
            <w:right w:val="none" w:sz="0" w:space="0" w:color="auto"/>
          </w:divBdr>
          <w:divsChild>
            <w:div w:id="1826706517">
              <w:marLeft w:val="0"/>
              <w:marRight w:val="0"/>
              <w:marTop w:val="0"/>
              <w:marBottom w:val="0"/>
              <w:divBdr>
                <w:top w:val="none" w:sz="0" w:space="0" w:color="auto"/>
                <w:left w:val="none" w:sz="0" w:space="0" w:color="auto"/>
                <w:bottom w:val="none" w:sz="0" w:space="0" w:color="auto"/>
                <w:right w:val="none" w:sz="0" w:space="0" w:color="auto"/>
              </w:divBdr>
              <w:divsChild>
                <w:div w:id="1715539301">
                  <w:marLeft w:val="0"/>
                  <w:marRight w:val="0"/>
                  <w:marTop w:val="0"/>
                  <w:marBottom w:val="0"/>
                  <w:divBdr>
                    <w:top w:val="none" w:sz="0" w:space="0" w:color="auto"/>
                    <w:left w:val="none" w:sz="0" w:space="0" w:color="auto"/>
                    <w:bottom w:val="none" w:sz="0" w:space="0" w:color="auto"/>
                    <w:right w:val="none" w:sz="0" w:space="0" w:color="auto"/>
                  </w:divBdr>
                  <w:divsChild>
                    <w:div w:id="1532262287">
                      <w:marLeft w:val="0"/>
                      <w:marRight w:val="0"/>
                      <w:marTop w:val="0"/>
                      <w:marBottom w:val="0"/>
                      <w:divBdr>
                        <w:top w:val="none" w:sz="0" w:space="0" w:color="auto"/>
                        <w:left w:val="none" w:sz="0" w:space="0" w:color="auto"/>
                        <w:bottom w:val="none" w:sz="0" w:space="0" w:color="auto"/>
                        <w:right w:val="none" w:sz="0" w:space="0" w:color="auto"/>
                      </w:divBdr>
                      <w:divsChild>
                        <w:div w:id="379747846">
                          <w:marLeft w:val="0"/>
                          <w:marRight w:val="0"/>
                          <w:marTop w:val="0"/>
                          <w:marBottom w:val="0"/>
                          <w:divBdr>
                            <w:top w:val="none" w:sz="0" w:space="0" w:color="auto"/>
                            <w:left w:val="none" w:sz="0" w:space="0" w:color="auto"/>
                            <w:bottom w:val="none" w:sz="0" w:space="0" w:color="auto"/>
                            <w:right w:val="none" w:sz="0" w:space="0" w:color="auto"/>
                          </w:divBdr>
                          <w:divsChild>
                            <w:div w:id="1019962799">
                              <w:marLeft w:val="0"/>
                              <w:marRight w:val="0"/>
                              <w:marTop w:val="0"/>
                              <w:marBottom w:val="0"/>
                              <w:divBdr>
                                <w:top w:val="none" w:sz="0" w:space="0" w:color="auto"/>
                                <w:left w:val="none" w:sz="0" w:space="0" w:color="auto"/>
                                <w:bottom w:val="none" w:sz="0" w:space="0" w:color="auto"/>
                                <w:right w:val="none" w:sz="0" w:space="0" w:color="auto"/>
                              </w:divBdr>
                              <w:divsChild>
                                <w:div w:id="191306312">
                                  <w:marLeft w:val="0"/>
                                  <w:marRight w:val="0"/>
                                  <w:marTop w:val="0"/>
                                  <w:marBottom w:val="0"/>
                                  <w:divBdr>
                                    <w:top w:val="none" w:sz="0" w:space="0" w:color="auto"/>
                                    <w:left w:val="none" w:sz="0" w:space="0" w:color="auto"/>
                                    <w:bottom w:val="none" w:sz="0" w:space="0" w:color="auto"/>
                                    <w:right w:val="none" w:sz="0" w:space="0" w:color="auto"/>
                                  </w:divBdr>
                                  <w:divsChild>
                                    <w:div w:id="274142840">
                                      <w:marLeft w:val="0"/>
                                      <w:marRight w:val="0"/>
                                      <w:marTop w:val="0"/>
                                      <w:marBottom w:val="0"/>
                                      <w:divBdr>
                                        <w:top w:val="none" w:sz="0" w:space="0" w:color="auto"/>
                                        <w:left w:val="none" w:sz="0" w:space="0" w:color="auto"/>
                                        <w:bottom w:val="none" w:sz="0" w:space="0" w:color="auto"/>
                                        <w:right w:val="none" w:sz="0" w:space="0" w:color="auto"/>
                                      </w:divBdr>
                                      <w:divsChild>
                                        <w:div w:id="574555907">
                                          <w:marLeft w:val="0"/>
                                          <w:marRight w:val="0"/>
                                          <w:marTop w:val="0"/>
                                          <w:marBottom w:val="0"/>
                                          <w:divBdr>
                                            <w:top w:val="none" w:sz="0" w:space="0" w:color="auto"/>
                                            <w:left w:val="none" w:sz="0" w:space="0" w:color="auto"/>
                                            <w:bottom w:val="none" w:sz="0" w:space="0" w:color="auto"/>
                                            <w:right w:val="none" w:sz="0" w:space="0" w:color="auto"/>
                                          </w:divBdr>
                                          <w:divsChild>
                                            <w:div w:id="1146237352">
                                              <w:marLeft w:val="0"/>
                                              <w:marRight w:val="0"/>
                                              <w:marTop w:val="0"/>
                                              <w:marBottom w:val="0"/>
                                              <w:divBdr>
                                                <w:top w:val="none" w:sz="0" w:space="0" w:color="auto"/>
                                                <w:left w:val="none" w:sz="0" w:space="0" w:color="auto"/>
                                                <w:bottom w:val="none" w:sz="0" w:space="0" w:color="auto"/>
                                                <w:right w:val="none" w:sz="0" w:space="0" w:color="auto"/>
                                              </w:divBdr>
                                              <w:divsChild>
                                                <w:div w:id="1241252275">
                                                  <w:marLeft w:val="0"/>
                                                  <w:marRight w:val="0"/>
                                                  <w:marTop w:val="0"/>
                                                  <w:marBottom w:val="0"/>
                                                  <w:divBdr>
                                                    <w:top w:val="none" w:sz="0" w:space="0" w:color="auto"/>
                                                    <w:left w:val="none" w:sz="0" w:space="0" w:color="auto"/>
                                                    <w:bottom w:val="none" w:sz="0" w:space="0" w:color="auto"/>
                                                    <w:right w:val="none" w:sz="0" w:space="0" w:color="auto"/>
                                                  </w:divBdr>
                                                  <w:divsChild>
                                                    <w:div w:id="485633326">
                                                      <w:marLeft w:val="0"/>
                                                      <w:marRight w:val="0"/>
                                                      <w:marTop w:val="0"/>
                                                      <w:marBottom w:val="0"/>
                                                      <w:divBdr>
                                                        <w:top w:val="none" w:sz="0" w:space="0" w:color="auto"/>
                                                        <w:left w:val="none" w:sz="0" w:space="0" w:color="auto"/>
                                                        <w:bottom w:val="none" w:sz="0" w:space="0" w:color="auto"/>
                                                        <w:right w:val="none" w:sz="0" w:space="0" w:color="auto"/>
                                                      </w:divBdr>
                                                      <w:divsChild>
                                                        <w:div w:id="221672383">
                                                          <w:marLeft w:val="0"/>
                                                          <w:marRight w:val="0"/>
                                                          <w:marTop w:val="0"/>
                                                          <w:marBottom w:val="0"/>
                                                          <w:divBdr>
                                                            <w:top w:val="none" w:sz="0" w:space="0" w:color="auto"/>
                                                            <w:left w:val="none" w:sz="0" w:space="0" w:color="auto"/>
                                                            <w:bottom w:val="none" w:sz="0" w:space="0" w:color="auto"/>
                                                            <w:right w:val="none" w:sz="0" w:space="0" w:color="auto"/>
                                                          </w:divBdr>
                                                          <w:divsChild>
                                                            <w:div w:id="1952395564">
                                                              <w:marLeft w:val="0"/>
                                                              <w:marRight w:val="0"/>
                                                              <w:marTop w:val="0"/>
                                                              <w:marBottom w:val="0"/>
                                                              <w:divBdr>
                                                                <w:top w:val="none" w:sz="0" w:space="0" w:color="auto"/>
                                                                <w:left w:val="none" w:sz="0" w:space="0" w:color="auto"/>
                                                                <w:bottom w:val="none" w:sz="0" w:space="0" w:color="auto"/>
                                                                <w:right w:val="none" w:sz="0" w:space="0" w:color="auto"/>
                                                              </w:divBdr>
                                                              <w:divsChild>
                                                                <w:div w:id="8017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ilvana.rodrigues@id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ItutBasi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ItutBasic-Template.dot</Template>
  <TotalTime>1</TotalTime>
  <Pages>20</Pages>
  <Words>4894</Words>
  <Characters>31670</Characters>
  <Application>Microsoft Office Word</Application>
  <DocSecurity>0</DocSecurity>
  <Lines>812</Lines>
  <Paragraphs>474</Paragraphs>
  <ScaleCrop>false</ScaleCrop>
  <HeadingPairs>
    <vt:vector size="2" baseType="variant">
      <vt:variant>
        <vt:lpstr>Title</vt:lpstr>
      </vt:variant>
      <vt:variant>
        <vt:i4>1</vt:i4>
      </vt:variant>
    </vt:vector>
  </HeadingPairs>
  <TitlesOfParts>
    <vt:vector size="1" baseType="lpstr">
      <vt:lpstr>Draft Amendment 2 to Recommendation ITU-T G.8273.2/Y.1368.2 (2014) (for Consent, 3 July 2015)</vt:lpstr>
    </vt:vector>
  </TitlesOfParts>
  <Manager>ITU-T</Manager>
  <Company>International Telecommunication Union (ITU)</Company>
  <LinksUpToDate>false</LinksUpToDate>
  <CharactersWithSpaces>36090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Amendment 2 to Recommendation ITU-T G.8273.2/Y.1368.2 (2014) (for Consent, 3 July 2015)</dc:title>
  <dc:creator>Editor G.8273.2/Y.1368.2</dc:creator>
  <cp:keywords>13/15</cp:keywords>
  <dc:description>TD 411 Rev.1 (PLEN/15)  For: 22 June - 3 July 2015_x000d_Document date: _x000d_Saved by ITU51010110 at 16:02:52 on 01/07/15</dc:description>
  <cp:lastModifiedBy>Clark, Robert</cp:lastModifiedBy>
  <cp:revision>2</cp:revision>
  <cp:lastPrinted>2015-07-01T13:07:00Z</cp:lastPrinted>
  <dcterms:created xsi:type="dcterms:W3CDTF">2015-07-06T11:33:00Z</dcterms:created>
  <dcterms:modified xsi:type="dcterms:W3CDTF">2015-07-06T11:33:00Z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411 Rev.1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13/15</vt:lpwstr>
  </property>
  <property fmtid="{D5CDD505-2E9C-101B-9397-08002B2CF9AE}" pid="6" name="Docdest">
    <vt:lpwstr>22 June - 3 July 2015</vt:lpwstr>
  </property>
  <property fmtid="{D5CDD505-2E9C-101B-9397-08002B2CF9AE}" pid="7" name="Docauthor">
    <vt:lpwstr>Editor G.8273.2/Y.1368.2</vt:lpwstr>
  </property>
</Properties>
</file>