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9" w:type="dxa"/>
        <w:tblLayout w:type="fixed"/>
        <w:tblCellMar>
          <w:left w:w="57" w:type="dxa"/>
          <w:right w:w="57" w:type="dxa"/>
        </w:tblCellMar>
        <w:tblLook w:val="0000" w:firstRow="0" w:lastRow="0" w:firstColumn="0" w:lastColumn="0" w:noHBand="0" w:noVBand="0"/>
      </w:tblPr>
      <w:tblGrid>
        <w:gridCol w:w="1401"/>
        <w:gridCol w:w="198"/>
        <w:gridCol w:w="10"/>
        <w:gridCol w:w="563"/>
        <w:gridCol w:w="2747"/>
        <w:gridCol w:w="474"/>
        <w:gridCol w:w="584"/>
        <w:gridCol w:w="524"/>
        <w:gridCol w:w="3158"/>
      </w:tblGrid>
      <w:tr w:rsidR="00E839EF" w:rsidRPr="00E839EF" w:rsidTr="00971E16">
        <w:trPr>
          <w:cantSplit/>
        </w:trPr>
        <w:tc>
          <w:tcPr>
            <w:tcW w:w="1401" w:type="dxa"/>
            <w:vMerge w:val="restart"/>
          </w:tcPr>
          <w:p w:rsidR="00E839EF" w:rsidRPr="00E839EF" w:rsidRDefault="00E839EF" w:rsidP="00E839EF">
            <w:bookmarkStart w:id="0" w:name="InsertLogo"/>
            <w:bookmarkStart w:id="1" w:name="dtableau"/>
            <w:bookmarkStart w:id="2" w:name="dsg" w:colFirst="1" w:colLast="1"/>
            <w:bookmarkEnd w:id="0"/>
            <w:r w:rsidRPr="00E839EF">
              <w:rPr>
                <w:b/>
                <w:noProof/>
                <w:sz w:val="36"/>
                <w:lang w:eastAsia="zh-CN"/>
              </w:rPr>
              <w:drawing>
                <wp:inline distT="0" distB="0" distL="0" distR="0" wp14:anchorId="0FF40D05" wp14:editId="20A434C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00" w:type="dxa"/>
            <w:gridSpan w:val="7"/>
          </w:tcPr>
          <w:p w:rsidR="00E839EF" w:rsidRPr="00E839EF" w:rsidRDefault="00E839EF" w:rsidP="00E839EF">
            <w:pPr>
              <w:rPr>
                <w:sz w:val="20"/>
              </w:rPr>
            </w:pPr>
            <w:r w:rsidRPr="00E839EF">
              <w:rPr>
                <w:sz w:val="20"/>
              </w:rPr>
              <w:t>INTERNATIONAL TELECOMMUNICATION UNION</w:t>
            </w:r>
          </w:p>
        </w:tc>
        <w:tc>
          <w:tcPr>
            <w:tcW w:w="3158" w:type="dxa"/>
          </w:tcPr>
          <w:p w:rsidR="00E839EF" w:rsidRPr="00E839EF" w:rsidRDefault="00E839EF" w:rsidP="00E839EF">
            <w:pPr>
              <w:pStyle w:val="Docnumber"/>
              <w:rPr>
                <w:sz w:val="28"/>
              </w:rPr>
            </w:pPr>
            <w:r>
              <w:rPr>
                <w:sz w:val="28"/>
              </w:rPr>
              <w:t>COM 15 – LS 332 – E</w:t>
            </w:r>
          </w:p>
        </w:tc>
      </w:tr>
      <w:tr w:rsidR="00E839EF" w:rsidRPr="00E839EF" w:rsidTr="00971E16">
        <w:trPr>
          <w:cantSplit/>
          <w:trHeight w:val="355"/>
        </w:trPr>
        <w:tc>
          <w:tcPr>
            <w:tcW w:w="1401" w:type="dxa"/>
            <w:vMerge/>
          </w:tcPr>
          <w:p w:rsidR="00E839EF" w:rsidRPr="00E839EF" w:rsidRDefault="00E839EF" w:rsidP="00E839EF">
            <w:bookmarkStart w:id="3" w:name="ddate" w:colFirst="2" w:colLast="2"/>
            <w:bookmarkStart w:id="4" w:name="dnum" w:colFirst="1" w:colLast="1"/>
            <w:bookmarkEnd w:id="2"/>
          </w:p>
        </w:tc>
        <w:tc>
          <w:tcPr>
            <w:tcW w:w="3992" w:type="dxa"/>
            <w:gridSpan w:val="5"/>
            <w:vMerge w:val="restart"/>
          </w:tcPr>
          <w:p w:rsidR="00E839EF" w:rsidRPr="00E839EF" w:rsidRDefault="00E839EF" w:rsidP="00E839EF">
            <w:pPr>
              <w:rPr>
                <w:b/>
                <w:bCs/>
                <w:sz w:val="26"/>
              </w:rPr>
            </w:pPr>
            <w:r w:rsidRPr="00E839EF">
              <w:rPr>
                <w:b/>
                <w:bCs/>
                <w:sz w:val="26"/>
              </w:rPr>
              <w:t>TELECOMMUNICATION</w:t>
            </w:r>
            <w:r w:rsidRPr="00E839EF">
              <w:rPr>
                <w:b/>
                <w:bCs/>
                <w:sz w:val="26"/>
              </w:rPr>
              <w:br/>
              <w:t>STANDARDIZATION SECTOR</w:t>
            </w:r>
          </w:p>
          <w:p w:rsidR="00E839EF" w:rsidRPr="00E839EF" w:rsidRDefault="00E839EF" w:rsidP="00E839EF">
            <w:pPr>
              <w:rPr>
                <w:smallCaps/>
                <w:sz w:val="20"/>
              </w:rPr>
            </w:pPr>
            <w:r w:rsidRPr="00E839EF">
              <w:rPr>
                <w:sz w:val="20"/>
              </w:rPr>
              <w:t xml:space="preserve">STUDY PERIOD </w:t>
            </w:r>
            <w:r>
              <w:rPr>
                <w:sz w:val="20"/>
              </w:rPr>
              <w:t>2013-2016</w:t>
            </w:r>
          </w:p>
        </w:tc>
        <w:tc>
          <w:tcPr>
            <w:tcW w:w="4266" w:type="dxa"/>
            <w:gridSpan w:val="3"/>
          </w:tcPr>
          <w:p w:rsidR="00E839EF" w:rsidRPr="00E839EF" w:rsidRDefault="00E839EF" w:rsidP="00E839EF">
            <w:pPr>
              <w:jc w:val="right"/>
              <w:rPr>
                <w:b/>
                <w:bCs/>
              </w:rPr>
            </w:pPr>
          </w:p>
        </w:tc>
      </w:tr>
      <w:tr w:rsidR="00E839EF" w:rsidRPr="00E839EF" w:rsidTr="00971E16">
        <w:trPr>
          <w:cantSplit/>
          <w:trHeight w:val="780"/>
        </w:trPr>
        <w:tc>
          <w:tcPr>
            <w:tcW w:w="1401" w:type="dxa"/>
            <w:vMerge/>
            <w:tcBorders>
              <w:bottom w:val="single" w:sz="12" w:space="0" w:color="auto"/>
            </w:tcBorders>
          </w:tcPr>
          <w:p w:rsidR="00E839EF" w:rsidRPr="00E839EF" w:rsidRDefault="00E839EF" w:rsidP="00E839EF">
            <w:bookmarkStart w:id="5" w:name="dorlang" w:colFirst="2" w:colLast="2"/>
            <w:bookmarkEnd w:id="3"/>
          </w:p>
        </w:tc>
        <w:tc>
          <w:tcPr>
            <w:tcW w:w="3992" w:type="dxa"/>
            <w:gridSpan w:val="5"/>
            <w:vMerge/>
            <w:tcBorders>
              <w:bottom w:val="single" w:sz="12" w:space="0" w:color="auto"/>
            </w:tcBorders>
          </w:tcPr>
          <w:p w:rsidR="00E839EF" w:rsidRPr="00E839EF" w:rsidRDefault="00E839EF" w:rsidP="00E839EF">
            <w:pPr>
              <w:rPr>
                <w:b/>
                <w:bCs/>
                <w:sz w:val="26"/>
              </w:rPr>
            </w:pPr>
          </w:p>
        </w:tc>
        <w:tc>
          <w:tcPr>
            <w:tcW w:w="4266" w:type="dxa"/>
            <w:gridSpan w:val="3"/>
            <w:tcBorders>
              <w:bottom w:val="single" w:sz="12" w:space="0" w:color="auto"/>
            </w:tcBorders>
            <w:vAlign w:val="center"/>
          </w:tcPr>
          <w:p w:rsidR="00E839EF" w:rsidRDefault="00E839EF" w:rsidP="00E839EF">
            <w:pPr>
              <w:jc w:val="right"/>
              <w:rPr>
                <w:b/>
                <w:bCs/>
                <w:sz w:val="28"/>
              </w:rPr>
            </w:pPr>
            <w:r>
              <w:rPr>
                <w:b/>
                <w:bCs/>
                <w:sz w:val="28"/>
              </w:rPr>
              <w:t>English only</w:t>
            </w:r>
          </w:p>
          <w:p w:rsidR="00E839EF" w:rsidRPr="00E839EF" w:rsidRDefault="00E839EF" w:rsidP="00E839EF">
            <w:pPr>
              <w:jc w:val="right"/>
              <w:rPr>
                <w:b/>
                <w:bCs/>
                <w:sz w:val="28"/>
              </w:rPr>
            </w:pPr>
            <w:r>
              <w:rPr>
                <w:b/>
                <w:bCs/>
                <w:sz w:val="28"/>
              </w:rPr>
              <w:t>Original: English</w:t>
            </w:r>
          </w:p>
        </w:tc>
      </w:tr>
      <w:tr w:rsidR="00E839EF" w:rsidRPr="00E839EF" w:rsidTr="00971E16">
        <w:trPr>
          <w:cantSplit/>
          <w:trHeight w:val="357"/>
        </w:trPr>
        <w:tc>
          <w:tcPr>
            <w:tcW w:w="1599" w:type="dxa"/>
            <w:gridSpan w:val="2"/>
          </w:tcPr>
          <w:p w:rsidR="00E839EF" w:rsidRPr="00E839EF" w:rsidRDefault="00E839EF" w:rsidP="00C83334">
            <w:pPr>
              <w:rPr>
                <w:b/>
                <w:bCs/>
              </w:rPr>
            </w:pPr>
            <w:bookmarkStart w:id="6" w:name="dbluepink" w:colFirst="1" w:colLast="1"/>
            <w:bookmarkStart w:id="7" w:name="dmeeting" w:colFirst="2" w:colLast="2"/>
            <w:bookmarkEnd w:id="5"/>
            <w:bookmarkEnd w:id="4"/>
            <w:r w:rsidRPr="00E839EF">
              <w:rPr>
                <w:b/>
                <w:bCs/>
              </w:rPr>
              <w:t>Question(s):</w:t>
            </w:r>
          </w:p>
        </w:tc>
        <w:tc>
          <w:tcPr>
            <w:tcW w:w="3320" w:type="dxa"/>
            <w:gridSpan w:val="3"/>
          </w:tcPr>
          <w:p w:rsidR="00E839EF" w:rsidRPr="00E839EF" w:rsidRDefault="00E839EF" w:rsidP="00C83334">
            <w:r w:rsidRPr="00E839EF">
              <w:t>13/15</w:t>
            </w:r>
          </w:p>
        </w:tc>
        <w:tc>
          <w:tcPr>
            <w:tcW w:w="4740" w:type="dxa"/>
            <w:gridSpan w:val="4"/>
          </w:tcPr>
          <w:p w:rsidR="00E839EF" w:rsidRPr="00E839EF" w:rsidRDefault="00E839EF" w:rsidP="00C83334">
            <w:pPr>
              <w:jc w:val="right"/>
            </w:pPr>
          </w:p>
        </w:tc>
      </w:tr>
      <w:tr w:rsidR="00E839EF" w:rsidRPr="00E839EF" w:rsidTr="00971E16">
        <w:trPr>
          <w:cantSplit/>
          <w:trHeight w:val="357"/>
        </w:trPr>
        <w:tc>
          <w:tcPr>
            <w:tcW w:w="9659" w:type="dxa"/>
            <w:gridSpan w:val="9"/>
          </w:tcPr>
          <w:p w:rsidR="00E839EF" w:rsidRPr="00E839EF" w:rsidRDefault="00E839EF" w:rsidP="00C83334">
            <w:pPr>
              <w:jc w:val="center"/>
              <w:rPr>
                <w:b/>
                <w:bCs/>
              </w:rPr>
            </w:pPr>
            <w:bookmarkStart w:id="8" w:name="dtitle" w:colFirst="0" w:colLast="0"/>
            <w:bookmarkEnd w:id="6"/>
            <w:bookmarkEnd w:id="7"/>
            <w:r w:rsidRPr="00E839EF">
              <w:rPr>
                <w:b/>
                <w:bCs/>
              </w:rPr>
              <w:t xml:space="preserve">Ref.: TD497/PLEN Annex </w:t>
            </w:r>
            <w:r>
              <w:rPr>
                <w:b/>
                <w:bCs/>
              </w:rPr>
              <w:t>K</w:t>
            </w:r>
          </w:p>
        </w:tc>
      </w:tr>
      <w:tr w:rsidR="00E839EF" w:rsidRPr="00E839EF" w:rsidTr="00971E16">
        <w:trPr>
          <w:cantSplit/>
          <w:trHeight w:val="357"/>
        </w:trPr>
        <w:tc>
          <w:tcPr>
            <w:tcW w:w="1599" w:type="dxa"/>
            <w:gridSpan w:val="2"/>
          </w:tcPr>
          <w:p w:rsidR="00E839EF" w:rsidRPr="00E839EF" w:rsidRDefault="00E839EF" w:rsidP="00C83334">
            <w:pPr>
              <w:rPr>
                <w:b/>
                <w:bCs/>
              </w:rPr>
            </w:pPr>
            <w:bookmarkStart w:id="9" w:name="dsource" w:colFirst="1" w:colLast="1"/>
            <w:bookmarkEnd w:id="8"/>
            <w:r w:rsidRPr="00E839EF">
              <w:rPr>
                <w:b/>
                <w:bCs/>
              </w:rPr>
              <w:t>Source:</w:t>
            </w:r>
          </w:p>
        </w:tc>
        <w:tc>
          <w:tcPr>
            <w:tcW w:w="8060" w:type="dxa"/>
            <w:gridSpan w:val="7"/>
          </w:tcPr>
          <w:p w:rsidR="00E839EF" w:rsidRPr="00E839EF" w:rsidRDefault="00E839EF" w:rsidP="00C83334">
            <w:r w:rsidRPr="00E839EF">
              <w:t>ITU-T Study Group 15</w:t>
            </w:r>
          </w:p>
        </w:tc>
      </w:tr>
      <w:tr w:rsidR="00E839EF" w:rsidRPr="00E839EF" w:rsidTr="00971E16">
        <w:trPr>
          <w:cantSplit/>
          <w:trHeight w:val="357"/>
        </w:trPr>
        <w:tc>
          <w:tcPr>
            <w:tcW w:w="1599" w:type="dxa"/>
            <w:gridSpan w:val="2"/>
            <w:tcBorders>
              <w:bottom w:val="single" w:sz="12" w:space="0" w:color="auto"/>
            </w:tcBorders>
          </w:tcPr>
          <w:p w:rsidR="00E839EF" w:rsidRPr="00E839EF" w:rsidRDefault="00E839EF" w:rsidP="00C83334">
            <w:bookmarkStart w:id="10" w:name="dtitle1" w:colFirst="1" w:colLast="1"/>
            <w:bookmarkEnd w:id="9"/>
            <w:r w:rsidRPr="00E839EF">
              <w:rPr>
                <w:b/>
                <w:bCs/>
              </w:rPr>
              <w:t>Title:</w:t>
            </w:r>
          </w:p>
        </w:tc>
        <w:tc>
          <w:tcPr>
            <w:tcW w:w="8060" w:type="dxa"/>
            <w:gridSpan w:val="7"/>
            <w:tcBorders>
              <w:bottom w:val="single" w:sz="12" w:space="0" w:color="auto"/>
            </w:tcBorders>
          </w:tcPr>
          <w:p w:rsidR="00E839EF" w:rsidRPr="00E839EF" w:rsidRDefault="00E839EF" w:rsidP="00C83334">
            <w:r>
              <w:t>LS on u</w:t>
            </w:r>
            <w:r w:rsidRPr="00E839EF">
              <w:t xml:space="preserve">pdates on synchronization solutions applicable to </w:t>
            </w:r>
            <w:proofErr w:type="spellStart"/>
            <w:r w:rsidRPr="00E839EF">
              <w:t>fronthaul</w:t>
            </w:r>
            <w:proofErr w:type="spellEnd"/>
          </w:p>
        </w:tc>
      </w:tr>
      <w:bookmarkEnd w:id="1"/>
      <w:bookmarkEnd w:id="10"/>
      <w:tr w:rsidR="00567831" w:rsidTr="00971E16">
        <w:trPr>
          <w:cantSplit/>
          <w:trHeight w:val="367"/>
        </w:trPr>
        <w:tc>
          <w:tcPr>
            <w:tcW w:w="9659" w:type="dxa"/>
            <w:gridSpan w:val="9"/>
            <w:tcBorders>
              <w:top w:val="single" w:sz="12" w:space="0" w:color="auto"/>
            </w:tcBorders>
          </w:tcPr>
          <w:p w:rsidR="00567831" w:rsidRPr="00B84391" w:rsidRDefault="00567831" w:rsidP="00C83334">
            <w:pPr>
              <w:jc w:val="center"/>
              <w:rPr>
                <w:b/>
              </w:rPr>
            </w:pPr>
            <w:r w:rsidRPr="00B84391">
              <w:rPr>
                <w:b/>
              </w:rPr>
              <w:t>LIAISON STATEMENT</w:t>
            </w:r>
          </w:p>
        </w:tc>
      </w:tr>
      <w:tr w:rsidR="00567831" w:rsidTr="00971E16">
        <w:trPr>
          <w:cantSplit/>
          <w:trHeight w:val="367"/>
        </w:trPr>
        <w:tc>
          <w:tcPr>
            <w:tcW w:w="2172" w:type="dxa"/>
            <w:gridSpan w:val="4"/>
          </w:tcPr>
          <w:p w:rsidR="00567831" w:rsidRPr="00B84391" w:rsidRDefault="00567831" w:rsidP="00C83334">
            <w:pPr>
              <w:rPr>
                <w:b/>
                <w:bCs/>
              </w:rPr>
            </w:pPr>
            <w:r w:rsidRPr="00B84391">
              <w:rPr>
                <w:b/>
                <w:bCs/>
              </w:rPr>
              <w:t>For action to:</w:t>
            </w:r>
            <w:r>
              <w:rPr>
                <w:b/>
                <w:bCs/>
              </w:rPr>
              <w:t xml:space="preserve"> </w:t>
            </w:r>
          </w:p>
        </w:tc>
        <w:tc>
          <w:tcPr>
            <w:tcW w:w="7487" w:type="dxa"/>
            <w:gridSpan w:val="5"/>
          </w:tcPr>
          <w:p w:rsidR="00567831" w:rsidRPr="00E839EF" w:rsidRDefault="00567831" w:rsidP="00C83334">
            <w:pPr>
              <w:pStyle w:val="LSForAction"/>
              <w:rPr>
                <w:b w:val="0"/>
                <w:bCs w:val="0"/>
              </w:rPr>
            </w:pPr>
            <w:r w:rsidRPr="00E839EF">
              <w:rPr>
                <w:b w:val="0"/>
                <w:bCs w:val="0"/>
              </w:rPr>
              <w:t>IEEE 802.1 (P802.1CM)</w:t>
            </w:r>
          </w:p>
        </w:tc>
      </w:tr>
      <w:tr w:rsidR="00567831" w:rsidTr="00971E16">
        <w:trPr>
          <w:cantSplit/>
          <w:trHeight w:val="367"/>
        </w:trPr>
        <w:tc>
          <w:tcPr>
            <w:tcW w:w="2172" w:type="dxa"/>
            <w:gridSpan w:val="4"/>
          </w:tcPr>
          <w:p w:rsidR="00567831" w:rsidRPr="003869CD" w:rsidRDefault="00567831" w:rsidP="00C83334">
            <w:pPr>
              <w:rPr>
                <w:b/>
                <w:bCs/>
              </w:rPr>
            </w:pPr>
            <w:r w:rsidRPr="003869CD">
              <w:rPr>
                <w:b/>
                <w:bCs/>
              </w:rPr>
              <w:t>For comment to:</w:t>
            </w:r>
          </w:p>
        </w:tc>
        <w:tc>
          <w:tcPr>
            <w:tcW w:w="7487" w:type="dxa"/>
            <w:gridSpan w:val="5"/>
          </w:tcPr>
          <w:p w:rsidR="00567831" w:rsidRPr="00E839EF" w:rsidRDefault="00E839EF" w:rsidP="00C83334">
            <w:pPr>
              <w:pStyle w:val="LSForComment"/>
              <w:rPr>
                <w:b w:val="0"/>
                <w:bCs w:val="0"/>
              </w:rPr>
            </w:pPr>
            <w:r w:rsidRPr="00E839EF">
              <w:rPr>
                <w:b w:val="0"/>
                <w:bCs w:val="0"/>
              </w:rPr>
              <w:t>-</w:t>
            </w:r>
          </w:p>
        </w:tc>
      </w:tr>
      <w:tr w:rsidR="00567831" w:rsidTr="00971E16">
        <w:trPr>
          <w:cantSplit/>
          <w:trHeight w:val="367"/>
        </w:trPr>
        <w:tc>
          <w:tcPr>
            <w:tcW w:w="2172" w:type="dxa"/>
            <w:gridSpan w:val="4"/>
          </w:tcPr>
          <w:p w:rsidR="00567831" w:rsidRPr="00921FFC" w:rsidRDefault="00567831" w:rsidP="00C83334">
            <w:pPr>
              <w:rPr>
                <w:b/>
                <w:bCs/>
              </w:rPr>
            </w:pPr>
            <w:r w:rsidRPr="00921FFC">
              <w:rPr>
                <w:b/>
                <w:bCs/>
              </w:rPr>
              <w:t>For information to:</w:t>
            </w:r>
          </w:p>
        </w:tc>
        <w:tc>
          <w:tcPr>
            <w:tcW w:w="7487" w:type="dxa"/>
            <w:gridSpan w:val="5"/>
          </w:tcPr>
          <w:p w:rsidR="00567831" w:rsidRPr="00E839EF" w:rsidRDefault="00E839EF" w:rsidP="00C83334">
            <w:pPr>
              <w:pStyle w:val="LSForInfo"/>
              <w:rPr>
                <w:b w:val="0"/>
                <w:bCs w:val="0"/>
              </w:rPr>
            </w:pPr>
            <w:r w:rsidRPr="00E839EF">
              <w:rPr>
                <w:b w:val="0"/>
                <w:bCs w:val="0"/>
              </w:rPr>
              <w:t>-</w:t>
            </w:r>
          </w:p>
        </w:tc>
      </w:tr>
      <w:tr w:rsidR="00567831" w:rsidTr="00971E16">
        <w:trPr>
          <w:cantSplit/>
          <w:trHeight w:val="367"/>
        </w:trPr>
        <w:tc>
          <w:tcPr>
            <w:tcW w:w="2172" w:type="dxa"/>
            <w:gridSpan w:val="4"/>
          </w:tcPr>
          <w:p w:rsidR="00567831" w:rsidRPr="00921FFC" w:rsidRDefault="00567831" w:rsidP="00C83334">
            <w:pPr>
              <w:rPr>
                <w:b/>
                <w:bCs/>
              </w:rPr>
            </w:pPr>
            <w:r w:rsidRPr="00921FFC">
              <w:rPr>
                <w:b/>
                <w:bCs/>
              </w:rPr>
              <w:t>Approval:</w:t>
            </w:r>
          </w:p>
        </w:tc>
        <w:tc>
          <w:tcPr>
            <w:tcW w:w="7487" w:type="dxa"/>
            <w:gridSpan w:val="5"/>
          </w:tcPr>
          <w:p w:rsidR="00567831" w:rsidRPr="00E839EF" w:rsidRDefault="00B67A92" w:rsidP="00C83334">
            <w:r w:rsidRPr="00E839EF">
              <w:t>ITU-T SG15 meeting (Geneva, 15-26 February 2016)</w:t>
            </w:r>
          </w:p>
        </w:tc>
      </w:tr>
      <w:tr w:rsidR="00567831" w:rsidTr="00971E16">
        <w:trPr>
          <w:cantSplit/>
          <w:trHeight w:val="367"/>
        </w:trPr>
        <w:tc>
          <w:tcPr>
            <w:tcW w:w="2172" w:type="dxa"/>
            <w:gridSpan w:val="4"/>
            <w:tcBorders>
              <w:bottom w:val="single" w:sz="12" w:space="0" w:color="auto"/>
            </w:tcBorders>
          </w:tcPr>
          <w:p w:rsidR="00567831" w:rsidRPr="00921FFC" w:rsidRDefault="00567831" w:rsidP="00C83334">
            <w:pPr>
              <w:rPr>
                <w:b/>
                <w:bCs/>
              </w:rPr>
            </w:pPr>
            <w:r w:rsidRPr="00921FFC">
              <w:rPr>
                <w:b/>
                <w:bCs/>
              </w:rPr>
              <w:t>Deadline:</w:t>
            </w:r>
          </w:p>
        </w:tc>
        <w:tc>
          <w:tcPr>
            <w:tcW w:w="7487" w:type="dxa"/>
            <w:gridSpan w:val="5"/>
            <w:tcBorders>
              <w:bottom w:val="single" w:sz="12" w:space="0" w:color="auto"/>
            </w:tcBorders>
          </w:tcPr>
          <w:p w:rsidR="00567831" w:rsidRPr="00E839EF" w:rsidRDefault="00567831" w:rsidP="00C83334">
            <w:pPr>
              <w:pStyle w:val="LSDeadline"/>
              <w:rPr>
                <w:b w:val="0"/>
                <w:bCs w:val="0"/>
              </w:rPr>
            </w:pPr>
            <w:r w:rsidRPr="00E839EF">
              <w:rPr>
                <w:b w:val="0"/>
                <w:bCs w:val="0"/>
              </w:rPr>
              <w:t>27 May 2016</w:t>
            </w:r>
          </w:p>
        </w:tc>
      </w:tr>
      <w:tr w:rsidR="00567831" w:rsidTr="00971E16">
        <w:trPr>
          <w:cantSplit/>
          <w:trHeight w:val="210"/>
        </w:trPr>
        <w:tc>
          <w:tcPr>
            <w:tcW w:w="1609" w:type="dxa"/>
            <w:gridSpan w:val="3"/>
            <w:tcBorders>
              <w:top w:val="single" w:sz="12" w:space="0" w:color="auto"/>
            </w:tcBorders>
          </w:tcPr>
          <w:p w:rsidR="00567831" w:rsidRPr="00E839EF" w:rsidRDefault="00567831" w:rsidP="00810D4F">
            <w:pPr>
              <w:rPr>
                <w:rFonts w:asciiTheme="majorBidi" w:hAnsiTheme="majorBidi" w:cstheme="majorBidi"/>
                <w:b/>
                <w:bCs/>
                <w:lang w:val="fr-CH"/>
              </w:rPr>
            </w:pPr>
            <w:r w:rsidRPr="00E839EF">
              <w:rPr>
                <w:rFonts w:asciiTheme="majorBidi" w:hAnsiTheme="majorBidi" w:cstheme="majorBidi"/>
                <w:b/>
                <w:bCs/>
                <w:lang w:val="fr-CH"/>
              </w:rPr>
              <w:t>Contact:</w:t>
            </w:r>
          </w:p>
        </w:tc>
        <w:tc>
          <w:tcPr>
            <w:tcW w:w="4368" w:type="dxa"/>
            <w:gridSpan w:val="4"/>
            <w:tcBorders>
              <w:top w:val="single" w:sz="12" w:space="0" w:color="auto"/>
            </w:tcBorders>
          </w:tcPr>
          <w:p w:rsidR="00567831" w:rsidRPr="00E839EF" w:rsidRDefault="00567831" w:rsidP="00810D4F">
            <w:pPr>
              <w:rPr>
                <w:rFonts w:asciiTheme="majorBidi" w:hAnsiTheme="majorBidi" w:cstheme="majorBidi"/>
                <w:lang w:val="it-IT"/>
              </w:rPr>
            </w:pPr>
            <w:r w:rsidRPr="00E839EF">
              <w:rPr>
                <w:rFonts w:asciiTheme="majorBidi" w:hAnsiTheme="majorBidi" w:cstheme="majorBidi"/>
                <w:lang w:val="it-IT"/>
              </w:rPr>
              <w:t>Stefano Ruffini</w:t>
            </w:r>
          </w:p>
          <w:p w:rsidR="00567831" w:rsidRPr="00E839EF" w:rsidRDefault="00567831" w:rsidP="00E839EF">
            <w:pPr>
              <w:spacing w:before="0"/>
              <w:rPr>
                <w:rFonts w:asciiTheme="majorBidi" w:hAnsiTheme="majorBidi" w:cstheme="majorBidi"/>
                <w:highlight w:val="yellow"/>
                <w:lang w:val="it-IT"/>
              </w:rPr>
            </w:pPr>
            <w:r w:rsidRPr="00E839EF">
              <w:rPr>
                <w:rFonts w:asciiTheme="majorBidi" w:hAnsiTheme="majorBidi" w:cstheme="majorBidi"/>
                <w:lang w:val="it-IT"/>
              </w:rPr>
              <w:t>Rapporteur Q13/15</w:t>
            </w:r>
          </w:p>
        </w:tc>
        <w:tc>
          <w:tcPr>
            <w:tcW w:w="3682" w:type="dxa"/>
            <w:gridSpan w:val="2"/>
            <w:tcBorders>
              <w:top w:val="single" w:sz="12" w:space="0" w:color="auto"/>
            </w:tcBorders>
          </w:tcPr>
          <w:p w:rsidR="00567831" w:rsidRPr="00E839EF" w:rsidRDefault="00567831" w:rsidP="00E839EF">
            <w:pPr>
              <w:rPr>
                <w:rFonts w:asciiTheme="majorBidi" w:hAnsiTheme="majorBidi" w:cstheme="majorBidi"/>
              </w:rPr>
            </w:pPr>
            <w:r w:rsidRPr="00E839EF">
              <w:rPr>
                <w:rFonts w:asciiTheme="majorBidi" w:hAnsiTheme="majorBidi" w:cstheme="majorBidi"/>
              </w:rPr>
              <w:t xml:space="preserve">Email: </w:t>
            </w:r>
            <w:hyperlink r:id="rId8" w:history="1">
              <w:r w:rsidRPr="00E839EF">
                <w:rPr>
                  <w:rStyle w:val="Hyperlink"/>
                  <w:rFonts w:asciiTheme="majorBidi" w:hAnsiTheme="majorBidi" w:cstheme="majorBidi"/>
                  <w:lang w:val="fr-FR"/>
                </w:rPr>
                <w:t>stefano.ruffini@ericsson.com</w:t>
              </w:r>
            </w:hyperlink>
          </w:p>
        </w:tc>
      </w:tr>
      <w:tr w:rsidR="00567831" w:rsidTr="00971E16">
        <w:trPr>
          <w:cantSplit/>
          <w:trHeight w:val="210"/>
        </w:trPr>
        <w:tc>
          <w:tcPr>
            <w:tcW w:w="1609" w:type="dxa"/>
            <w:gridSpan w:val="3"/>
            <w:tcBorders>
              <w:top w:val="single" w:sz="12" w:space="0" w:color="auto"/>
            </w:tcBorders>
          </w:tcPr>
          <w:p w:rsidR="00567831" w:rsidRPr="00E839EF" w:rsidRDefault="00567831" w:rsidP="00810D4F">
            <w:pPr>
              <w:rPr>
                <w:rFonts w:asciiTheme="majorBidi" w:hAnsiTheme="majorBidi" w:cstheme="majorBidi"/>
                <w:b/>
                <w:bCs/>
                <w:lang w:val="fr-CH"/>
              </w:rPr>
            </w:pPr>
            <w:r w:rsidRPr="00E839EF">
              <w:rPr>
                <w:rFonts w:asciiTheme="majorBidi" w:hAnsiTheme="majorBidi" w:cstheme="majorBidi"/>
                <w:b/>
                <w:bCs/>
                <w:lang w:val="fr-CH"/>
              </w:rPr>
              <w:t>Contact:</w:t>
            </w:r>
          </w:p>
        </w:tc>
        <w:tc>
          <w:tcPr>
            <w:tcW w:w="4368" w:type="dxa"/>
            <w:gridSpan w:val="4"/>
            <w:tcBorders>
              <w:top w:val="single" w:sz="12" w:space="0" w:color="auto"/>
            </w:tcBorders>
          </w:tcPr>
          <w:p w:rsidR="00567831" w:rsidRPr="00E839EF" w:rsidRDefault="00567831" w:rsidP="00810D4F">
            <w:pPr>
              <w:rPr>
                <w:rFonts w:asciiTheme="majorBidi" w:hAnsiTheme="majorBidi" w:cstheme="majorBidi"/>
                <w:lang w:val="it-IT"/>
              </w:rPr>
            </w:pPr>
            <w:r w:rsidRPr="00E839EF">
              <w:rPr>
                <w:rFonts w:asciiTheme="majorBidi" w:hAnsiTheme="majorBidi" w:cstheme="majorBidi"/>
                <w:lang w:val="it-IT"/>
              </w:rPr>
              <w:t>Silvana Rodrigues</w:t>
            </w:r>
          </w:p>
          <w:p w:rsidR="00567831" w:rsidRPr="00E839EF" w:rsidRDefault="00567831" w:rsidP="00E839EF">
            <w:pPr>
              <w:spacing w:before="0"/>
              <w:rPr>
                <w:rFonts w:asciiTheme="majorBidi" w:hAnsiTheme="majorBidi" w:cstheme="majorBidi"/>
                <w:highlight w:val="yellow"/>
                <w:lang w:val="it-IT"/>
              </w:rPr>
            </w:pPr>
            <w:r w:rsidRPr="00E839EF">
              <w:rPr>
                <w:rFonts w:asciiTheme="majorBidi" w:hAnsiTheme="majorBidi" w:cstheme="majorBidi"/>
                <w:lang w:val="it-IT"/>
              </w:rPr>
              <w:t>Associate Rapporteur Q13/15</w:t>
            </w:r>
          </w:p>
        </w:tc>
        <w:tc>
          <w:tcPr>
            <w:tcW w:w="3682" w:type="dxa"/>
            <w:gridSpan w:val="2"/>
            <w:tcBorders>
              <w:top w:val="single" w:sz="12" w:space="0" w:color="auto"/>
            </w:tcBorders>
          </w:tcPr>
          <w:p w:rsidR="00567831" w:rsidRPr="00E839EF" w:rsidRDefault="00567831" w:rsidP="00E839EF">
            <w:pPr>
              <w:rPr>
                <w:rFonts w:asciiTheme="majorBidi" w:hAnsiTheme="majorBidi" w:cstheme="majorBidi"/>
              </w:rPr>
            </w:pPr>
            <w:r w:rsidRPr="00E839EF">
              <w:rPr>
                <w:rFonts w:asciiTheme="majorBidi" w:hAnsiTheme="majorBidi" w:cstheme="majorBidi"/>
              </w:rPr>
              <w:t xml:space="preserve">Email: </w:t>
            </w:r>
            <w:hyperlink r:id="rId9" w:history="1">
              <w:r w:rsidRPr="00E839EF">
                <w:rPr>
                  <w:rStyle w:val="Hyperlink"/>
                  <w:rFonts w:asciiTheme="majorBidi" w:hAnsiTheme="majorBidi" w:cstheme="majorBidi"/>
                  <w:lang w:val="fr-FR"/>
                </w:rPr>
                <w:t>silvana.rodrigues@idt.com</w:t>
              </w:r>
            </w:hyperlink>
          </w:p>
        </w:tc>
      </w:tr>
      <w:tr w:rsidR="00567831" w:rsidTr="00971E16">
        <w:trPr>
          <w:cantSplit/>
          <w:trHeight w:val="210"/>
        </w:trPr>
        <w:tc>
          <w:tcPr>
            <w:tcW w:w="9659" w:type="dxa"/>
            <w:gridSpan w:val="9"/>
            <w:tcBorders>
              <w:top w:val="single" w:sz="12" w:space="0" w:color="auto"/>
            </w:tcBorders>
          </w:tcPr>
          <w:p w:rsidR="00567831" w:rsidRDefault="00567831" w:rsidP="00810D4F">
            <w:pPr>
              <w:spacing w:before="0"/>
              <w:rPr>
                <w:sz w:val="18"/>
              </w:rPr>
            </w:pPr>
          </w:p>
        </w:tc>
      </w:tr>
    </w:tbl>
    <w:p w:rsidR="00567831" w:rsidRDefault="00E839EF" w:rsidP="00567831">
      <w:r>
        <w:t xml:space="preserve">ITU-T </w:t>
      </w:r>
      <w:r w:rsidR="00567831" w:rsidRPr="00401ECB">
        <w:t>Q1</w:t>
      </w:r>
      <w:r w:rsidR="00567831">
        <w:t>3</w:t>
      </w:r>
      <w:r w:rsidR="00567831" w:rsidRPr="00401ECB">
        <w:t xml:space="preserve">/15 </w:t>
      </w:r>
      <w:r w:rsidR="00567831">
        <w:t xml:space="preserve">discussed some aspects related to synchronization in </w:t>
      </w:r>
      <w:proofErr w:type="spellStart"/>
      <w:r w:rsidR="00567831">
        <w:t>fronthaul</w:t>
      </w:r>
      <w:proofErr w:type="spellEnd"/>
      <w:r w:rsidR="00567831">
        <w:t xml:space="preserve"> networks at last SG15 meeting (Geneva</w:t>
      </w:r>
      <w:r>
        <w:t>,</w:t>
      </w:r>
      <w:r w:rsidR="00567831">
        <w:t xml:space="preserve"> 15-26 February 2016), and would like to share some updates as well as asking for some information on this topic to your group.</w:t>
      </w:r>
    </w:p>
    <w:p w:rsidR="00567831" w:rsidRDefault="00567831" w:rsidP="00567831">
      <w:pPr>
        <w:rPr>
          <w:szCs w:val="24"/>
        </w:rPr>
      </w:pPr>
      <w:r>
        <w:rPr>
          <w:szCs w:val="24"/>
        </w:rPr>
        <w:t>Q13/15, after having completed the work on solutions able to meet +/-1.5 us at the output of the End Application (based on specific IEEE 1588 profiles and synchronous Ethernet), is now progressing the work on defining solutions to carry more accurate time synchronization, including cases when meeting a maximum relative phase deviation might be sufficient (the target requirement is still under discussion, values as low as +/- 100 ns have been suggested). This work also includes the definition of an enhanced version of Synchronous Ethernet.</w:t>
      </w:r>
    </w:p>
    <w:p w:rsidR="00567831" w:rsidRDefault="00567831" w:rsidP="00E839EF">
      <w:pPr>
        <w:rPr>
          <w:szCs w:val="24"/>
        </w:rPr>
      </w:pPr>
      <w:r>
        <w:rPr>
          <w:szCs w:val="24"/>
        </w:rPr>
        <w:t>The intention is to complete the work on an enhanced version of Primary Reference Time Clock (</w:t>
      </w:r>
      <w:r w:rsidR="00E839EF">
        <w:rPr>
          <w:szCs w:val="24"/>
        </w:rPr>
        <w:t xml:space="preserve">ITU-T </w:t>
      </w:r>
      <w:r w:rsidR="00E839EF" w:rsidRPr="00E839EF">
        <w:rPr>
          <w:szCs w:val="24"/>
        </w:rPr>
        <w:t>G.8272.1/Y.1367.1</w:t>
      </w:r>
      <w:r>
        <w:rPr>
          <w:szCs w:val="24"/>
        </w:rPr>
        <w:t>) and an enhanced version of synchronous Ethernet clock (</w:t>
      </w:r>
      <w:r w:rsidR="00E839EF">
        <w:rPr>
          <w:szCs w:val="24"/>
        </w:rPr>
        <w:t xml:space="preserve">ITU-T </w:t>
      </w:r>
      <w:r w:rsidR="00E839EF" w:rsidRPr="00E839EF">
        <w:rPr>
          <w:szCs w:val="24"/>
        </w:rPr>
        <w:t>G.8262.1/Y.1362.1</w:t>
      </w:r>
      <w:r>
        <w:rPr>
          <w:szCs w:val="24"/>
        </w:rPr>
        <w:t>) by September 2016.</w:t>
      </w:r>
    </w:p>
    <w:p w:rsidR="00567831" w:rsidRDefault="00567831" w:rsidP="00E839EF">
      <w:pPr>
        <w:rPr>
          <w:szCs w:val="24"/>
        </w:rPr>
      </w:pPr>
      <w:r>
        <w:rPr>
          <w:szCs w:val="24"/>
        </w:rPr>
        <w:t xml:space="preserve">The related network limits will be defined in an updated version of the Recommendation </w:t>
      </w:r>
      <w:r w:rsidR="00E839EF">
        <w:rPr>
          <w:szCs w:val="24"/>
        </w:rPr>
        <w:t xml:space="preserve">ITU-T </w:t>
      </w:r>
      <w:r w:rsidR="00E839EF" w:rsidRPr="00E839EF">
        <w:rPr>
          <w:szCs w:val="24"/>
        </w:rPr>
        <w:t>G.8271.1/Y.1366.1</w:t>
      </w:r>
      <w:r>
        <w:rPr>
          <w:szCs w:val="24"/>
        </w:rPr>
        <w:t>.</w:t>
      </w:r>
    </w:p>
    <w:p w:rsidR="00567831" w:rsidRDefault="00567831" w:rsidP="00567831">
      <w:pPr>
        <w:rPr>
          <w:szCs w:val="24"/>
        </w:rPr>
      </w:pPr>
      <w:r>
        <w:rPr>
          <w:szCs w:val="24"/>
        </w:rPr>
        <w:t xml:space="preserve">Considering the industry interest in 5G, the group recently agreed to study requirements and applicable solutions to also meet the synchronization requirements in future </w:t>
      </w:r>
      <w:proofErr w:type="spellStart"/>
      <w:r>
        <w:rPr>
          <w:szCs w:val="24"/>
        </w:rPr>
        <w:t>fronthaul</w:t>
      </w:r>
      <w:proofErr w:type="spellEnd"/>
      <w:r>
        <w:rPr>
          <w:szCs w:val="24"/>
        </w:rPr>
        <w:t xml:space="preserve"> scenarios, including </w:t>
      </w:r>
      <w:r w:rsidRPr="009F1C13">
        <w:rPr>
          <w:szCs w:val="24"/>
        </w:rPr>
        <w:t>Ether</w:t>
      </w:r>
      <w:r>
        <w:rPr>
          <w:szCs w:val="24"/>
        </w:rPr>
        <w:t>net-</w:t>
      </w:r>
      <w:r w:rsidRPr="009F1C13">
        <w:rPr>
          <w:szCs w:val="24"/>
        </w:rPr>
        <w:t>based architecture</w:t>
      </w:r>
      <w:r>
        <w:rPr>
          <w:szCs w:val="24"/>
        </w:rPr>
        <w:t xml:space="preserve">s. </w:t>
      </w:r>
    </w:p>
    <w:p w:rsidR="00567831" w:rsidRDefault="00567831" w:rsidP="00567831">
      <w:pPr>
        <w:rPr>
          <w:szCs w:val="24"/>
        </w:rPr>
      </w:pPr>
      <w:r>
        <w:rPr>
          <w:szCs w:val="24"/>
        </w:rPr>
        <w:t xml:space="preserve">Q13/15 is aware of the current studies carried in the scope of P802.1CM project (relevant information was received by the </w:t>
      </w:r>
      <w:r w:rsidRPr="00E93B36">
        <w:rPr>
          <w:szCs w:val="24"/>
        </w:rPr>
        <w:t>IEEE 802.1 Liaison Rapporteur</w:t>
      </w:r>
      <w:r>
        <w:rPr>
          <w:szCs w:val="24"/>
        </w:rPr>
        <w:t xml:space="preserve"> at this meeting) and would like to get some updates on the status of your studies, in particular in terms of expected timing </w:t>
      </w:r>
      <w:r>
        <w:rPr>
          <w:szCs w:val="24"/>
        </w:rPr>
        <w:lastRenderedPageBreak/>
        <w:t>requirements and architectures that need to be addressed (e.g. number of hops between the Radio Equipment Controller site and the Remote Radio Units).</w:t>
      </w:r>
    </w:p>
    <w:p w:rsidR="00567831" w:rsidRDefault="00567831" w:rsidP="00567831">
      <w:pPr>
        <w:rPr>
          <w:szCs w:val="24"/>
        </w:rPr>
      </w:pPr>
      <w:r>
        <w:rPr>
          <w:szCs w:val="24"/>
        </w:rPr>
        <w:t>Other synchronization-related updates from your group are welcome.</w:t>
      </w:r>
    </w:p>
    <w:p w:rsidR="00567831" w:rsidRDefault="00567831" w:rsidP="00567831">
      <w:pPr>
        <w:rPr>
          <w:szCs w:val="24"/>
        </w:rPr>
      </w:pPr>
      <w:r w:rsidRPr="006C0A09">
        <w:rPr>
          <w:szCs w:val="24"/>
        </w:rPr>
        <w:t xml:space="preserve">We look forward to continuing our good working relationship with the IEEE </w:t>
      </w:r>
      <w:r>
        <w:rPr>
          <w:szCs w:val="24"/>
        </w:rPr>
        <w:t>802.1</w:t>
      </w:r>
      <w:r w:rsidRPr="006C0A09">
        <w:rPr>
          <w:szCs w:val="24"/>
        </w:rPr>
        <w:t>.</w:t>
      </w:r>
    </w:p>
    <w:p w:rsidR="009C74F9" w:rsidRPr="00A94DF0" w:rsidRDefault="00567831" w:rsidP="00E839EF">
      <w:pPr>
        <w:jc w:val="center"/>
      </w:pPr>
      <w:r>
        <w:t>________________</w:t>
      </w:r>
    </w:p>
    <w:p w:rsidR="00570A89" w:rsidRPr="00A94DF0" w:rsidRDefault="00570A89" w:rsidP="00570A89">
      <w:bookmarkStart w:id="11" w:name="_GoBack"/>
      <w:bookmarkEnd w:id="11"/>
    </w:p>
    <w:sectPr w:rsidR="00570A89" w:rsidRPr="00A94DF0" w:rsidSect="00E839EF">
      <w:headerReference w:type="default" r:id="rId10"/>
      <w:footerReference w:type="first" r:id="rId1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8A" w:rsidRDefault="00A52E8A">
      <w:r>
        <w:separator/>
      </w:r>
    </w:p>
  </w:endnote>
  <w:endnote w:type="continuationSeparator" w:id="0">
    <w:p w:rsidR="00A52E8A" w:rsidRDefault="00A5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E839EF" w:rsidRPr="00E839EF">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E839EF" w:rsidRPr="00E839EF" w:rsidRDefault="00E839EF" w:rsidP="00E839EF">
          <w:pPr>
            <w:spacing w:before="0"/>
            <w:rPr>
              <w:sz w:val="18"/>
            </w:rPr>
          </w:pPr>
          <w:r w:rsidRPr="00E839EF">
            <w:rPr>
              <w:b/>
              <w:bCs/>
              <w:sz w:val="18"/>
            </w:rPr>
            <w:t>Attention:</w:t>
          </w:r>
          <w:r w:rsidRPr="00E839EF">
            <w:rPr>
              <w:sz w:val="18"/>
            </w:rPr>
            <w:t xml:space="preserve"> Some or all of the material attached to this liaison statement may be subject to ITU copyright. In such a case this will be indicated in the individual document. </w:t>
          </w:r>
        </w:p>
        <w:p w:rsidR="00E839EF" w:rsidRPr="00E839EF" w:rsidRDefault="00E839EF" w:rsidP="00E839EF">
          <w:pPr>
            <w:spacing w:before="0"/>
            <w:rPr>
              <w:sz w:val="18"/>
            </w:rPr>
          </w:pPr>
          <w:r w:rsidRPr="00E839EF">
            <w:rPr>
              <w:sz w:val="18"/>
            </w:rPr>
            <w:t>Such a copyright does not prevent the use of the material for its intended purpose, but it prevents the reproduction of all or part of it in a publication without the authorization of ITU.</w:t>
          </w:r>
        </w:p>
      </w:tc>
    </w:tr>
  </w:tbl>
  <w:p w:rsidR="00E839EF" w:rsidRPr="00E839EF" w:rsidRDefault="00E839EF" w:rsidP="00E839E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8A" w:rsidRDefault="00A52E8A">
      <w:r>
        <w:separator/>
      </w:r>
    </w:p>
  </w:footnote>
  <w:footnote w:type="continuationSeparator" w:id="0">
    <w:p w:rsidR="00A52E8A" w:rsidRDefault="00A52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38" w:rsidRPr="00E839EF" w:rsidRDefault="00E839EF" w:rsidP="00E839EF">
    <w:pPr>
      <w:pStyle w:val="Header"/>
    </w:pPr>
    <w:r w:rsidRPr="00E839EF">
      <w:t xml:space="preserve">- </w:t>
    </w:r>
    <w:r w:rsidRPr="00E839EF">
      <w:fldChar w:fldCharType="begin"/>
    </w:r>
    <w:r w:rsidRPr="00E839EF">
      <w:instrText xml:space="preserve"> PAGE  \* MERGEFORMAT </w:instrText>
    </w:r>
    <w:r w:rsidRPr="00E839EF">
      <w:fldChar w:fldCharType="separate"/>
    </w:r>
    <w:r w:rsidR="005E45BB">
      <w:rPr>
        <w:noProof/>
      </w:rPr>
      <w:t>2</w:t>
    </w:r>
    <w:r w:rsidRPr="00E839EF">
      <w:fldChar w:fldCharType="end"/>
    </w:r>
    <w:r w:rsidRPr="00E839EF">
      <w:t xml:space="preserve"> -</w:t>
    </w:r>
  </w:p>
  <w:p w:rsidR="00E839EF" w:rsidRPr="00E839EF" w:rsidRDefault="00E839EF" w:rsidP="00E839EF">
    <w:pPr>
      <w:pStyle w:val="Header"/>
      <w:spacing w:after="240"/>
    </w:pPr>
    <w:r w:rsidRPr="00E839EF">
      <w:fldChar w:fldCharType="begin"/>
    </w:r>
    <w:r w:rsidRPr="00E839EF">
      <w:instrText xml:space="preserve"> STYLEREF  Docnumber  </w:instrText>
    </w:r>
    <w:r w:rsidRPr="00E839EF">
      <w:fldChar w:fldCharType="separate"/>
    </w:r>
    <w:r w:rsidR="005E45BB">
      <w:rPr>
        <w:noProof/>
      </w:rPr>
      <w:t>COM 15 – LS 332 – E</w:t>
    </w:r>
    <w:r w:rsidRPr="00E839E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E25F7"/>
    <w:multiLevelType w:val="hybridMultilevel"/>
    <w:tmpl w:val="7A9C38BE"/>
    <w:lvl w:ilvl="0" w:tplc="85F210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45EF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C624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872A41"/>
    <w:multiLevelType w:val="hybridMultilevel"/>
    <w:tmpl w:val="5120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E37EE"/>
    <w:multiLevelType w:val="hybridMultilevel"/>
    <w:tmpl w:val="1AB03F88"/>
    <w:lvl w:ilvl="0" w:tplc="3536A3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D4358C2"/>
    <w:multiLevelType w:val="hybridMultilevel"/>
    <w:tmpl w:val="34AE743C"/>
    <w:lvl w:ilvl="0" w:tplc="8F42787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1EFD1469"/>
    <w:multiLevelType w:val="hybridMultilevel"/>
    <w:tmpl w:val="78CCBC40"/>
    <w:lvl w:ilvl="0" w:tplc="8520BF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C43252"/>
    <w:multiLevelType w:val="hybridMultilevel"/>
    <w:tmpl w:val="502E5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E925CD"/>
    <w:multiLevelType w:val="hybridMultilevel"/>
    <w:tmpl w:val="E2905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A7006F"/>
    <w:multiLevelType w:val="hybridMultilevel"/>
    <w:tmpl w:val="B05C3992"/>
    <w:lvl w:ilvl="0" w:tplc="FFFFFFFF">
      <w:start w:val="1"/>
      <w:numFmt w:val="bullet"/>
      <w:lvlText w:val=""/>
      <w:lvlJc w:val="left"/>
      <w:pPr>
        <w:ind w:left="480" w:hanging="480"/>
      </w:pPr>
      <w:rPr>
        <w:rFonts w:ascii="Symbol" w:hAnsi="Symbol" w:hint="default"/>
      </w:rPr>
    </w:lvl>
    <w:lvl w:ilvl="1" w:tplc="04090003">
      <w:start w:val="1"/>
      <w:numFmt w:val="bullet"/>
      <w:lvlText w:val="o"/>
      <w:lvlJc w:val="left"/>
      <w:pPr>
        <w:ind w:left="960" w:hanging="480"/>
      </w:pPr>
      <w:rPr>
        <w:rFonts w:ascii="Courier New" w:hAnsi="Courier New" w:cs="Courier New"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1" w15:restartNumberingAfterBreak="0">
    <w:nsid w:val="34270A80"/>
    <w:multiLevelType w:val="hybridMultilevel"/>
    <w:tmpl w:val="75CA2A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527C4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D35755"/>
    <w:multiLevelType w:val="hybridMultilevel"/>
    <w:tmpl w:val="3736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13CA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5A33F1"/>
    <w:multiLevelType w:val="hybridMultilevel"/>
    <w:tmpl w:val="A23441FA"/>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864EA"/>
    <w:multiLevelType w:val="hybridMultilevel"/>
    <w:tmpl w:val="16146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742A8E"/>
    <w:multiLevelType w:val="hybridMultilevel"/>
    <w:tmpl w:val="9D82F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A16D7E"/>
    <w:multiLevelType w:val="hybridMultilevel"/>
    <w:tmpl w:val="802E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A3984"/>
    <w:multiLevelType w:val="hybridMultilevel"/>
    <w:tmpl w:val="5FE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6"/>
  </w:num>
  <w:num w:numId="7">
    <w:abstractNumId w:val="5"/>
  </w:num>
  <w:num w:numId="8">
    <w:abstractNumId w:val="1"/>
  </w:num>
  <w:num w:numId="9">
    <w:abstractNumId w:val="15"/>
  </w:num>
  <w:num w:numId="10">
    <w:abstractNumId w:val="18"/>
  </w:num>
  <w:num w:numId="11">
    <w:abstractNumId w:val="19"/>
  </w:num>
  <w:num w:numId="12">
    <w:abstractNumId w:val="10"/>
  </w:num>
  <w:num w:numId="13">
    <w:abstractNumId w:val="4"/>
  </w:num>
  <w:num w:numId="14">
    <w:abstractNumId w:val="7"/>
  </w:num>
  <w:num w:numId="15">
    <w:abstractNumId w:val="6"/>
  </w:num>
  <w:num w:numId="16">
    <w:abstractNumId w:val="9"/>
  </w:num>
  <w:num w:numId="17">
    <w:abstractNumId w:val="8"/>
  </w:num>
  <w:num w:numId="18">
    <w:abstractNumId w:val="13"/>
  </w:num>
  <w:num w:numId="19">
    <w:abstractNumId w:val="11"/>
  </w:num>
  <w:num w:numId="20">
    <w:abstractNumId w:val="12"/>
  </w:num>
  <w:num w:numId="21">
    <w:abstractNumId w:val="14"/>
  </w:num>
  <w:num w:numId="22">
    <w:abstractNumId w:val="3"/>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37DD"/>
    <w:rsid w:val="00003D5D"/>
    <w:rsid w:val="000136C7"/>
    <w:rsid w:val="00020477"/>
    <w:rsid w:val="0002633D"/>
    <w:rsid w:val="00026E63"/>
    <w:rsid w:val="0004526F"/>
    <w:rsid w:val="000762C4"/>
    <w:rsid w:val="000C2BEC"/>
    <w:rsid w:val="000D4D6A"/>
    <w:rsid w:val="000E21F9"/>
    <w:rsid w:val="000E43A6"/>
    <w:rsid w:val="000F040E"/>
    <w:rsid w:val="000F5FBE"/>
    <w:rsid w:val="001006D0"/>
    <w:rsid w:val="001044B4"/>
    <w:rsid w:val="0011327F"/>
    <w:rsid w:val="0011349D"/>
    <w:rsid w:val="001147B2"/>
    <w:rsid w:val="00124D32"/>
    <w:rsid w:val="00126D98"/>
    <w:rsid w:val="0013143F"/>
    <w:rsid w:val="00131C74"/>
    <w:rsid w:val="00134936"/>
    <w:rsid w:val="00145EA0"/>
    <w:rsid w:val="00155DFE"/>
    <w:rsid w:val="00167901"/>
    <w:rsid w:val="001B7B94"/>
    <w:rsid w:val="001C0BE3"/>
    <w:rsid w:val="001C4D6D"/>
    <w:rsid w:val="001D43CA"/>
    <w:rsid w:val="00220DFC"/>
    <w:rsid w:val="002323B1"/>
    <w:rsid w:val="002413A4"/>
    <w:rsid w:val="002433B5"/>
    <w:rsid w:val="0025576F"/>
    <w:rsid w:val="002808EE"/>
    <w:rsid w:val="0028236F"/>
    <w:rsid w:val="00295973"/>
    <w:rsid w:val="002A2100"/>
    <w:rsid w:val="002A575E"/>
    <w:rsid w:val="002B164B"/>
    <w:rsid w:val="002C0E9E"/>
    <w:rsid w:val="002D237E"/>
    <w:rsid w:val="002D3BCA"/>
    <w:rsid w:val="002E2354"/>
    <w:rsid w:val="002F0FD3"/>
    <w:rsid w:val="00301550"/>
    <w:rsid w:val="00307542"/>
    <w:rsid w:val="003246FD"/>
    <w:rsid w:val="00360E2D"/>
    <w:rsid w:val="0036794D"/>
    <w:rsid w:val="003767F4"/>
    <w:rsid w:val="00376A0B"/>
    <w:rsid w:val="003865E2"/>
    <w:rsid w:val="003A2AB5"/>
    <w:rsid w:val="003C6669"/>
    <w:rsid w:val="003C716D"/>
    <w:rsid w:val="003D133C"/>
    <w:rsid w:val="003D2FA7"/>
    <w:rsid w:val="003D446E"/>
    <w:rsid w:val="003E5240"/>
    <w:rsid w:val="003F42C2"/>
    <w:rsid w:val="003F4365"/>
    <w:rsid w:val="00402FD0"/>
    <w:rsid w:val="0040559D"/>
    <w:rsid w:val="00416CE8"/>
    <w:rsid w:val="0042283D"/>
    <w:rsid w:val="00422E0C"/>
    <w:rsid w:val="00443F45"/>
    <w:rsid w:val="00456090"/>
    <w:rsid w:val="00456895"/>
    <w:rsid w:val="004605D5"/>
    <w:rsid w:val="00466A0E"/>
    <w:rsid w:val="00467F7B"/>
    <w:rsid w:val="00472FB8"/>
    <w:rsid w:val="0047612C"/>
    <w:rsid w:val="00484E39"/>
    <w:rsid w:val="004A480D"/>
    <w:rsid w:val="004C5C97"/>
    <w:rsid w:val="004D6193"/>
    <w:rsid w:val="004E753F"/>
    <w:rsid w:val="00507899"/>
    <w:rsid w:val="00526A18"/>
    <w:rsid w:val="005359A3"/>
    <w:rsid w:val="00542268"/>
    <w:rsid w:val="00546257"/>
    <w:rsid w:val="00563CBA"/>
    <w:rsid w:val="00567831"/>
    <w:rsid w:val="00570A89"/>
    <w:rsid w:val="00571585"/>
    <w:rsid w:val="00574543"/>
    <w:rsid w:val="00583B96"/>
    <w:rsid w:val="0059088C"/>
    <w:rsid w:val="005A4B05"/>
    <w:rsid w:val="005B6736"/>
    <w:rsid w:val="005B74B5"/>
    <w:rsid w:val="005C15A6"/>
    <w:rsid w:val="005C25B9"/>
    <w:rsid w:val="005D02FE"/>
    <w:rsid w:val="005D1EC7"/>
    <w:rsid w:val="005E45BB"/>
    <w:rsid w:val="005F6D23"/>
    <w:rsid w:val="00613232"/>
    <w:rsid w:val="00631EA4"/>
    <w:rsid w:val="00642C6C"/>
    <w:rsid w:val="00642DD4"/>
    <w:rsid w:val="00654520"/>
    <w:rsid w:val="00663AEC"/>
    <w:rsid w:val="006726AA"/>
    <w:rsid w:val="006807FF"/>
    <w:rsid w:val="0069670D"/>
    <w:rsid w:val="006A1429"/>
    <w:rsid w:val="006A2081"/>
    <w:rsid w:val="006B0938"/>
    <w:rsid w:val="006B1571"/>
    <w:rsid w:val="006B6A25"/>
    <w:rsid w:val="006C2FAA"/>
    <w:rsid w:val="006D493A"/>
    <w:rsid w:val="007250F2"/>
    <w:rsid w:val="00732DEC"/>
    <w:rsid w:val="0073621C"/>
    <w:rsid w:val="00752133"/>
    <w:rsid w:val="0075762E"/>
    <w:rsid w:val="0075786B"/>
    <w:rsid w:val="00762E0E"/>
    <w:rsid w:val="00771912"/>
    <w:rsid w:val="00774DCC"/>
    <w:rsid w:val="007800BA"/>
    <w:rsid w:val="007851E9"/>
    <w:rsid w:val="00792DD9"/>
    <w:rsid w:val="007A449F"/>
    <w:rsid w:val="007A669C"/>
    <w:rsid w:val="007A6A35"/>
    <w:rsid w:val="007B2FBD"/>
    <w:rsid w:val="007B74DB"/>
    <w:rsid w:val="007B7D48"/>
    <w:rsid w:val="007D079A"/>
    <w:rsid w:val="007D49AF"/>
    <w:rsid w:val="007D6E7F"/>
    <w:rsid w:val="007F4F23"/>
    <w:rsid w:val="007F7E15"/>
    <w:rsid w:val="00804888"/>
    <w:rsid w:val="00832FA8"/>
    <w:rsid w:val="00840B9F"/>
    <w:rsid w:val="00842329"/>
    <w:rsid w:val="00846914"/>
    <w:rsid w:val="00862410"/>
    <w:rsid w:val="008765F6"/>
    <w:rsid w:val="00891149"/>
    <w:rsid w:val="008A00D1"/>
    <w:rsid w:val="008A3C92"/>
    <w:rsid w:val="008B33AB"/>
    <w:rsid w:val="008C35D0"/>
    <w:rsid w:val="008D19B9"/>
    <w:rsid w:val="008F2914"/>
    <w:rsid w:val="0090606A"/>
    <w:rsid w:val="00914FD4"/>
    <w:rsid w:val="00915649"/>
    <w:rsid w:val="00921FEF"/>
    <w:rsid w:val="00923465"/>
    <w:rsid w:val="00966CE2"/>
    <w:rsid w:val="00971E16"/>
    <w:rsid w:val="00974053"/>
    <w:rsid w:val="00974D72"/>
    <w:rsid w:val="009902AF"/>
    <w:rsid w:val="009904C2"/>
    <w:rsid w:val="009A3227"/>
    <w:rsid w:val="009A33A9"/>
    <w:rsid w:val="009B3A45"/>
    <w:rsid w:val="009B638B"/>
    <w:rsid w:val="009B7CE6"/>
    <w:rsid w:val="009C74F9"/>
    <w:rsid w:val="009D3507"/>
    <w:rsid w:val="009F403B"/>
    <w:rsid w:val="00A049E6"/>
    <w:rsid w:val="00A04B21"/>
    <w:rsid w:val="00A05556"/>
    <w:rsid w:val="00A0560F"/>
    <w:rsid w:val="00A079B8"/>
    <w:rsid w:val="00A07EF2"/>
    <w:rsid w:val="00A37D1A"/>
    <w:rsid w:val="00A52E8A"/>
    <w:rsid w:val="00A56350"/>
    <w:rsid w:val="00A7052D"/>
    <w:rsid w:val="00A967CE"/>
    <w:rsid w:val="00AA20A8"/>
    <w:rsid w:val="00B3336C"/>
    <w:rsid w:val="00B34229"/>
    <w:rsid w:val="00B379BB"/>
    <w:rsid w:val="00B6729E"/>
    <w:rsid w:val="00B67824"/>
    <w:rsid w:val="00B67A92"/>
    <w:rsid w:val="00B743A3"/>
    <w:rsid w:val="00B82F88"/>
    <w:rsid w:val="00B84365"/>
    <w:rsid w:val="00B92DEE"/>
    <w:rsid w:val="00BA444C"/>
    <w:rsid w:val="00BB3BEB"/>
    <w:rsid w:val="00BD3DE9"/>
    <w:rsid w:val="00BE279D"/>
    <w:rsid w:val="00BE7B24"/>
    <w:rsid w:val="00C07356"/>
    <w:rsid w:val="00C07BA2"/>
    <w:rsid w:val="00C159B3"/>
    <w:rsid w:val="00C21BB1"/>
    <w:rsid w:val="00C26D90"/>
    <w:rsid w:val="00C42705"/>
    <w:rsid w:val="00C4389D"/>
    <w:rsid w:val="00C64CFB"/>
    <w:rsid w:val="00C75AD7"/>
    <w:rsid w:val="00C76C9E"/>
    <w:rsid w:val="00C83334"/>
    <w:rsid w:val="00C91CB4"/>
    <w:rsid w:val="00CA6E09"/>
    <w:rsid w:val="00CB53B7"/>
    <w:rsid w:val="00CC1F4C"/>
    <w:rsid w:val="00CC7B06"/>
    <w:rsid w:val="00CD0AB7"/>
    <w:rsid w:val="00D23EDE"/>
    <w:rsid w:val="00D43BF5"/>
    <w:rsid w:val="00D4568A"/>
    <w:rsid w:val="00D5040F"/>
    <w:rsid w:val="00D809EA"/>
    <w:rsid w:val="00D9117A"/>
    <w:rsid w:val="00DA06E2"/>
    <w:rsid w:val="00DB14E7"/>
    <w:rsid w:val="00DB7E3F"/>
    <w:rsid w:val="00DC0374"/>
    <w:rsid w:val="00DC3088"/>
    <w:rsid w:val="00DC4735"/>
    <w:rsid w:val="00DE31F5"/>
    <w:rsid w:val="00DF39F0"/>
    <w:rsid w:val="00E02997"/>
    <w:rsid w:val="00E216AC"/>
    <w:rsid w:val="00E220FE"/>
    <w:rsid w:val="00E34F9B"/>
    <w:rsid w:val="00E47E5B"/>
    <w:rsid w:val="00E505B1"/>
    <w:rsid w:val="00E53725"/>
    <w:rsid w:val="00E6179C"/>
    <w:rsid w:val="00E703AD"/>
    <w:rsid w:val="00E81344"/>
    <w:rsid w:val="00E839EF"/>
    <w:rsid w:val="00E9621B"/>
    <w:rsid w:val="00EB0356"/>
    <w:rsid w:val="00EB037A"/>
    <w:rsid w:val="00EB4C0D"/>
    <w:rsid w:val="00EB6302"/>
    <w:rsid w:val="00EC028D"/>
    <w:rsid w:val="00EC4D6F"/>
    <w:rsid w:val="00EC535D"/>
    <w:rsid w:val="00ED762E"/>
    <w:rsid w:val="00EE4572"/>
    <w:rsid w:val="00EF1DF3"/>
    <w:rsid w:val="00F022A4"/>
    <w:rsid w:val="00F078D4"/>
    <w:rsid w:val="00F07D3E"/>
    <w:rsid w:val="00F1401F"/>
    <w:rsid w:val="00F2245B"/>
    <w:rsid w:val="00F2741E"/>
    <w:rsid w:val="00F35167"/>
    <w:rsid w:val="00F35C80"/>
    <w:rsid w:val="00F5695D"/>
    <w:rsid w:val="00F646D9"/>
    <w:rsid w:val="00F71E17"/>
    <w:rsid w:val="00F915C1"/>
    <w:rsid w:val="00FB12C9"/>
    <w:rsid w:val="00FB2A8A"/>
    <w:rsid w:val="00FC4274"/>
    <w:rsid w:val="00FD0801"/>
    <w:rsid w:val="00FE3CB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654303A7-4B4A-4FEA-9CC4-A8B2033B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1,AboutDocument,Gesamzüberschrift,Test,l1,h1,1st level,toc1,I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table" w:styleId="TableGrid">
    <w:name w:val="Table Grid"/>
    <w:basedOn w:val="TableNormal"/>
    <w:rsid w:val="0079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Deadline">
    <w:name w:val="LSDeadline"/>
    <w:basedOn w:val="Normal"/>
    <w:rsid w:val="00792DD9"/>
    <w:rPr>
      <w:b/>
      <w:bCs/>
    </w:rPr>
  </w:style>
  <w:style w:type="paragraph" w:customStyle="1" w:styleId="LSForAction">
    <w:name w:val="LSForAction"/>
    <w:basedOn w:val="Normal"/>
    <w:rsid w:val="00792DD9"/>
    <w:rPr>
      <w:b/>
      <w:bCs/>
    </w:rPr>
  </w:style>
  <w:style w:type="paragraph" w:customStyle="1" w:styleId="LSSource">
    <w:name w:val="LSSource"/>
    <w:basedOn w:val="Normal"/>
    <w:rsid w:val="00792DD9"/>
    <w:rPr>
      <w:b/>
      <w:bCs/>
    </w:rPr>
  </w:style>
  <w:style w:type="paragraph" w:customStyle="1" w:styleId="LSTitle">
    <w:name w:val="LSTitle"/>
    <w:basedOn w:val="Normal"/>
    <w:rsid w:val="00792DD9"/>
    <w:rPr>
      <w:b/>
      <w:bCs/>
    </w:rPr>
  </w:style>
  <w:style w:type="paragraph" w:customStyle="1" w:styleId="LSForInfo">
    <w:name w:val="LSForInfo"/>
    <w:basedOn w:val="LSForAction"/>
    <w:rsid w:val="00792DD9"/>
  </w:style>
  <w:style w:type="paragraph" w:customStyle="1" w:styleId="LSForComment">
    <w:name w:val="LSForComment"/>
    <w:basedOn w:val="LSForAction"/>
    <w:rsid w:val="00792DD9"/>
  </w:style>
  <w:style w:type="paragraph" w:styleId="ListParagraph">
    <w:name w:val="List Paragraph"/>
    <w:basedOn w:val="Normal"/>
    <w:uiPriority w:val="34"/>
    <w:qFormat/>
    <w:rsid w:val="00792DD9"/>
    <w:pPr>
      <w:ind w:left="720"/>
      <w:contextualSpacing/>
    </w:pPr>
  </w:style>
  <w:style w:type="paragraph" w:styleId="BalloonText">
    <w:name w:val="Balloon Text"/>
    <w:basedOn w:val="Normal"/>
    <w:link w:val="BalloonTextChar"/>
    <w:rsid w:val="00C75AD7"/>
    <w:pPr>
      <w:spacing w:before="0"/>
    </w:pPr>
    <w:rPr>
      <w:rFonts w:ascii="Segoe UI" w:hAnsi="Segoe UI" w:cs="Segoe UI"/>
      <w:sz w:val="18"/>
      <w:szCs w:val="18"/>
    </w:rPr>
  </w:style>
  <w:style w:type="character" w:customStyle="1" w:styleId="BalloonTextChar">
    <w:name w:val="Balloon Text Char"/>
    <w:basedOn w:val="DefaultParagraphFont"/>
    <w:link w:val="BalloonText"/>
    <w:rsid w:val="00C75AD7"/>
    <w:rPr>
      <w:rFonts w:ascii="Segoe UI" w:hAnsi="Segoe UI" w:cs="Segoe UI"/>
      <w:sz w:val="18"/>
      <w:szCs w:val="18"/>
      <w:lang w:val="en-GB" w:eastAsia="en-US"/>
    </w:rPr>
  </w:style>
  <w:style w:type="character" w:styleId="Hyperlink">
    <w:name w:val="Hyperlink"/>
    <w:aliases w:val="超级链接"/>
    <w:rsid w:val="00571585"/>
    <w:rPr>
      <w:color w:val="0000FF"/>
      <w:u w:val="single"/>
    </w:rPr>
  </w:style>
  <w:style w:type="paragraph" w:styleId="NormalWeb">
    <w:name w:val="Normal (Web)"/>
    <w:basedOn w:val="Normal"/>
    <w:uiPriority w:val="99"/>
    <w:unhideWhenUsed/>
    <w:rsid w:val="008911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Heading1Char">
    <w:name w:val="Heading 1 Char"/>
    <w:aliases w:val="1 Char,AboutDocument Char,Gesamzüberschrift Char,Test Char,l1 Char,h1 Char,1st level Char,toc1 Char,I1 Char"/>
    <w:link w:val="Heading1"/>
    <w:rsid w:val="002433B5"/>
    <w:rPr>
      <w:b/>
      <w:sz w:val="24"/>
      <w:lang w:val="en-GB" w:eastAsia="en-US"/>
    </w:rPr>
  </w:style>
  <w:style w:type="character" w:customStyle="1" w:styleId="Heading2Char">
    <w:name w:val="Heading 2 Char"/>
    <w:basedOn w:val="DefaultParagraphFont"/>
    <w:link w:val="Heading2"/>
    <w:rsid w:val="00F5695D"/>
    <w:rPr>
      <w:b/>
      <w:sz w:val="24"/>
      <w:lang w:val="en-GB" w:eastAsia="en-US"/>
    </w:rPr>
  </w:style>
  <w:style w:type="character" w:customStyle="1" w:styleId="FootnoteTextChar">
    <w:name w:val="Footnote Text Char"/>
    <w:basedOn w:val="DefaultParagraphFont"/>
    <w:link w:val="FootnoteText"/>
    <w:semiHidden/>
    <w:rsid w:val="00F5695D"/>
    <w:rPr>
      <w:sz w:val="24"/>
      <w:lang w:val="en-GB" w:eastAsia="en-US"/>
    </w:rPr>
  </w:style>
  <w:style w:type="paragraph" w:customStyle="1" w:styleId="Docnumber">
    <w:name w:val="Docnumber"/>
    <w:basedOn w:val="Normal"/>
    <w:link w:val="DocnumberChar"/>
    <w:rsid w:val="006B0938"/>
    <w:pPr>
      <w:jc w:val="right"/>
    </w:pPr>
    <w:rPr>
      <w:b/>
      <w:bCs/>
      <w:sz w:val="40"/>
    </w:rPr>
  </w:style>
  <w:style w:type="character" w:customStyle="1" w:styleId="DocnumberChar">
    <w:name w:val="Docnumber Char"/>
    <w:basedOn w:val="DefaultParagraphFont"/>
    <w:link w:val="Docnumber"/>
    <w:rsid w:val="006B0938"/>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83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o.ruffini@ericss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lvana.rodrigues@id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ItutBasic-Template.dot</Template>
  <TotalTime>10</TotalTime>
  <Pages>2</Pages>
  <Words>374</Words>
  <Characters>2208</Characters>
  <Application>Microsoft Office Word</Application>
  <DocSecurity>0</DocSecurity>
  <Lines>65</Lines>
  <Paragraphs>41</Paragraphs>
  <ScaleCrop>false</ScaleCrop>
  <HeadingPairs>
    <vt:vector size="2" baseType="variant">
      <vt:variant>
        <vt:lpstr>Title</vt:lpstr>
      </vt:variant>
      <vt:variant>
        <vt:i4>1</vt:i4>
      </vt:variant>
    </vt:vector>
  </HeadingPairs>
  <TitlesOfParts>
    <vt:vector size="1" baseType="lpstr">
      <vt:lpstr>WP3/15 outgoing Liaison Statements (for Agreement, 26 February 2016)</vt:lpstr>
    </vt:vector>
  </TitlesOfParts>
  <Manager>ITU-T</Manager>
  <Company>International Telecommunication Union (ITU)</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updates on synchronization solutions applicable to fronthaul</dc:title>
  <dc:subject/>
  <dc:creator>ITU-T Study Group 15</dc:creator>
  <cp:keywords>13/15</cp:keywords>
  <dc:description>TELECOMMUNICATION STANDARDIZATION SECTOR STUDY PERIOD 2013-2016  For: _x000d_Document date: _x000d_Saved by ITU51010110 at 12:03:09 on 02/03/16</dc:description>
  <cp:lastModifiedBy>Clark, Robert</cp:lastModifiedBy>
  <cp:revision>9</cp:revision>
  <cp:lastPrinted>2002-08-01T12:30:00Z</cp:lastPrinted>
  <dcterms:created xsi:type="dcterms:W3CDTF">2016-02-26T13:30:00Z</dcterms:created>
  <dcterms:modified xsi:type="dcterms:W3CDTF">2016-03-02T11:03:00Z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TELECOMMUNICATION STANDARDIZATION SECTOR STUDY PERIOD 2013-2016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13/15</vt:lpwstr>
  </property>
  <property fmtid="{D5CDD505-2E9C-101B-9397-08002B2CF9AE}" pid="6" name="Docdest">
    <vt:lpwstr/>
  </property>
  <property fmtid="{D5CDD505-2E9C-101B-9397-08002B2CF9AE}" pid="7" name="Docauthor">
    <vt:lpwstr>ITU-T Study Group 15</vt:lpwstr>
  </property>
</Properties>
</file>