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191"/>
        <w:gridCol w:w="416"/>
        <w:gridCol w:w="10"/>
        <w:gridCol w:w="510"/>
        <w:gridCol w:w="3115"/>
        <w:gridCol w:w="145"/>
        <w:gridCol w:w="4536"/>
      </w:tblGrid>
      <w:tr w:rsidR="008110B0" w:rsidRPr="008110B0" w:rsidTr="00F23C36">
        <w:trPr>
          <w:cantSplit/>
        </w:trPr>
        <w:tc>
          <w:tcPr>
            <w:tcW w:w="1191" w:type="dxa"/>
            <w:vMerge w:val="restart"/>
          </w:tcPr>
          <w:p w:rsidR="008110B0" w:rsidRPr="008110B0" w:rsidRDefault="008110B0" w:rsidP="008110B0">
            <w:pPr>
              <w:rPr>
                <w:sz w:val="20"/>
                <w:szCs w:val="20"/>
              </w:rPr>
            </w:pPr>
            <w:bookmarkStart w:id="0" w:name="dnum" w:colFirst="2" w:colLast="2"/>
            <w:bookmarkStart w:id="1" w:name="dtableau"/>
            <w:r w:rsidRPr="008110B0">
              <w:rPr>
                <w:noProof/>
                <w:sz w:val="20"/>
                <w:szCs w:val="20"/>
                <w:lang w:val="en-US" w:eastAsia="zh-CN"/>
              </w:rPr>
              <w:drawing>
                <wp:inline distT="0" distB="0" distL="0" distR="0" wp14:anchorId="52F7D923" wp14:editId="0951EEC2">
                  <wp:extent cx="647700" cy="828675"/>
                  <wp:effectExtent l="0" t="0" r="0" b="0"/>
                  <wp:docPr id="3" name="Picture 3" title="I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r\campos\TSB-Reference\Logos\ITU\sigleITU.gif"/>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 b="-12987"/>
                          <a:stretch/>
                        </pic:blipFill>
                        <pic:spPr bwMode="auto">
                          <a:xfrm>
                            <a:off x="0" y="0"/>
                            <a:ext cx="647700" cy="828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051" w:type="dxa"/>
            <w:gridSpan w:val="4"/>
            <w:vMerge w:val="restart"/>
          </w:tcPr>
          <w:p w:rsidR="008110B0" w:rsidRPr="008110B0" w:rsidRDefault="008110B0" w:rsidP="008110B0">
            <w:pPr>
              <w:rPr>
                <w:sz w:val="16"/>
                <w:szCs w:val="16"/>
              </w:rPr>
            </w:pPr>
            <w:r w:rsidRPr="008110B0">
              <w:rPr>
                <w:sz w:val="16"/>
                <w:szCs w:val="16"/>
              </w:rPr>
              <w:t>INTERNATIONAL TELECOMMUNICATION UNION</w:t>
            </w:r>
          </w:p>
          <w:p w:rsidR="008110B0" w:rsidRPr="008110B0" w:rsidRDefault="008110B0" w:rsidP="008110B0">
            <w:pPr>
              <w:rPr>
                <w:b/>
                <w:bCs/>
                <w:sz w:val="26"/>
                <w:szCs w:val="26"/>
              </w:rPr>
            </w:pPr>
            <w:r w:rsidRPr="008110B0">
              <w:rPr>
                <w:b/>
                <w:bCs/>
                <w:sz w:val="26"/>
                <w:szCs w:val="26"/>
              </w:rPr>
              <w:t>TELECOMMUNICATION</w:t>
            </w:r>
            <w:r w:rsidRPr="008110B0">
              <w:rPr>
                <w:b/>
                <w:bCs/>
                <w:sz w:val="26"/>
                <w:szCs w:val="26"/>
              </w:rPr>
              <w:br/>
              <w:t>STANDARDIZATION SECTOR</w:t>
            </w:r>
          </w:p>
          <w:p w:rsidR="008110B0" w:rsidRPr="008110B0" w:rsidRDefault="008110B0" w:rsidP="008110B0">
            <w:pPr>
              <w:rPr>
                <w:sz w:val="20"/>
                <w:szCs w:val="20"/>
              </w:rPr>
            </w:pPr>
            <w:r w:rsidRPr="008110B0">
              <w:rPr>
                <w:sz w:val="20"/>
                <w:szCs w:val="20"/>
              </w:rPr>
              <w:t xml:space="preserve">STUDY PERIOD </w:t>
            </w:r>
            <w:bookmarkStart w:id="2" w:name="dstudyperiod"/>
            <w:r w:rsidRPr="008110B0">
              <w:rPr>
                <w:sz w:val="20"/>
                <w:szCs w:val="20"/>
              </w:rPr>
              <w:t>2017-2020</w:t>
            </w:r>
            <w:bookmarkEnd w:id="2"/>
          </w:p>
        </w:tc>
        <w:tc>
          <w:tcPr>
            <w:tcW w:w="4681" w:type="dxa"/>
            <w:gridSpan w:val="2"/>
            <w:vAlign w:val="center"/>
          </w:tcPr>
          <w:p w:rsidR="008110B0" w:rsidRPr="008110B0" w:rsidRDefault="008110B0" w:rsidP="008110B0">
            <w:pPr>
              <w:pStyle w:val="Docnumber"/>
              <w:rPr>
                <w:sz w:val="32"/>
              </w:rPr>
            </w:pPr>
            <w:r>
              <w:rPr>
                <w:sz w:val="32"/>
              </w:rPr>
              <w:t>SG15-LS51</w:t>
            </w:r>
          </w:p>
        </w:tc>
      </w:tr>
      <w:tr w:rsidR="008110B0" w:rsidRPr="008110B0" w:rsidTr="00F23C36">
        <w:trPr>
          <w:cantSplit/>
        </w:trPr>
        <w:tc>
          <w:tcPr>
            <w:tcW w:w="1191" w:type="dxa"/>
            <w:vMerge/>
          </w:tcPr>
          <w:p w:rsidR="008110B0" w:rsidRPr="008110B0" w:rsidRDefault="008110B0" w:rsidP="008110B0">
            <w:pPr>
              <w:rPr>
                <w:smallCaps/>
                <w:sz w:val="20"/>
              </w:rPr>
            </w:pPr>
            <w:bookmarkStart w:id="3" w:name="dsg" w:colFirst="2" w:colLast="2"/>
            <w:bookmarkEnd w:id="0"/>
          </w:p>
        </w:tc>
        <w:tc>
          <w:tcPr>
            <w:tcW w:w="4051" w:type="dxa"/>
            <w:gridSpan w:val="4"/>
            <w:vMerge/>
          </w:tcPr>
          <w:p w:rsidR="008110B0" w:rsidRPr="008110B0" w:rsidRDefault="008110B0" w:rsidP="008110B0">
            <w:pPr>
              <w:rPr>
                <w:smallCaps/>
                <w:sz w:val="20"/>
              </w:rPr>
            </w:pPr>
          </w:p>
        </w:tc>
        <w:tc>
          <w:tcPr>
            <w:tcW w:w="4681" w:type="dxa"/>
            <w:gridSpan w:val="2"/>
          </w:tcPr>
          <w:p w:rsidR="008110B0" w:rsidRPr="008110B0" w:rsidRDefault="008110B0" w:rsidP="008110B0">
            <w:pPr>
              <w:jc w:val="right"/>
              <w:rPr>
                <w:b/>
                <w:bCs/>
                <w:sz w:val="28"/>
                <w:szCs w:val="28"/>
              </w:rPr>
            </w:pPr>
            <w:r>
              <w:rPr>
                <w:b/>
                <w:bCs/>
                <w:sz w:val="28"/>
                <w:szCs w:val="28"/>
              </w:rPr>
              <w:t>STUDY GROUP 15</w:t>
            </w:r>
          </w:p>
        </w:tc>
      </w:tr>
      <w:bookmarkEnd w:id="3"/>
      <w:tr w:rsidR="008110B0" w:rsidRPr="008110B0" w:rsidTr="00F23C36">
        <w:trPr>
          <w:cantSplit/>
        </w:trPr>
        <w:tc>
          <w:tcPr>
            <w:tcW w:w="1191" w:type="dxa"/>
            <w:vMerge/>
            <w:tcBorders>
              <w:bottom w:val="single" w:sz="12" w:space="0" w:color="auto"/>
            </w:tcBorders>
          </w:tcPr>
          <w:p w:rsidR="008110B0" w:rsidRPr="008110B0" w:rsidRDefault="008110B0" w:rsidP="008110B0">
            <w:pPr>
              <w:rPr>
                <w:b/>
                <w:bCs/>
                <w:sz w:val="26"/>
              </w:rPr>
            </w:pPr>
          </w:p>
        </w:tc>
        <w:tc>
          <w:tcPr>
            <w:tcW w:w="4051" w:type="dxa"/>
            <w:gridSpan w:val="4"/>
            <w:vMerge/>
            <w:tcBorders>
              <w:bottom w:val="single" w:sz="12" w:space="0" w:color="auto"/>
            </w:tcBorders>
          </w:tcPr>
          <w:p w:rsidR="008110B0" w:rsidRPr="008110B0" w:rsidRDefault="008110B0" w:rsidP="008110B0">
            <w:pPr>
              <w:rPr>
                <w:b/>
                <w:bCs/>
                <w:sz w:val="26"/>
              </w:rPr>
            </w:pPr>
          </w:p>
        </w:tc>
        <w:tc>
          <w:tcPr>
            <w:tcW w:w="4681" w:type="dxa"/>
            <w:gridSpan w:val="2"/>
            <w:tcBorders>
              <w:bottom w:val="single" w:sz="12" w:space="0" w:color="auto"/>
            </w:tcBorders>
            <w:vAlign w:val="center"/>
          </w:tcPr>
          <w:p w:rsidR="008110B0" w:rsidRPr="008110B0" w:rsidRDefault="008110B0" w:rsidP="008110B0">
            <w:pPr>
              <w:jc w:val="right"/>
              <w:rPr>
                <w:b/>
                <w:bCs/>
                <w:sz w:val="28"/>
                <w:szCs w:val="28"/>
              </w:rPr>
            </w:pPr>
            <w:r w:rsidRPr="008110B0">
              <w:rPr>
                <w:b/>
                <w:bCs/>
                <w:sz w:val="28"/>
                <w:szCs w:val="28"/>
              </w:rPr>
              <w:t>Original: English</w:t>
            </w:r>
          </w:p>
        </w:tc>
      </w:tr>
      <w:tr w:rsidR="008110B0" w:rsidRPr="008110B0" w:rsidTr="00F23C36">
        <w:trPr>
          <w:cantSplit/>
        </w:trPr>
        <w:tc>
          <w:tcPr>
            <w:tcW w:w="1617" w:type="dxa"/>
            <w:gridSpan w:val="3"/>
          </w:tcPr>
          <w:p w:rsidR="008110B0" w:rsidRPr="008110B0" w:rsidRDefault="008110B0" w:rsidP="008110B0">
            <w:pPr>
              <w:rPr>
                <w:b/>
                <w:bCs/>
              </w:rPr>
            </w:pPr>
            <w:bookmarkStart w:id="4" w:name="dbluepink" w:colFirst="1" w:colLast="1"/>
            <w:bookmarkStart w:id="5" w:name="dmeeting" w:colFirst="2" w:colLast="2"/>
            <w:r w:rsidRPr="008110B0">
              <w:rPr>
                <w:b/>
                <w:bCs/>
              </w:rPr>
              <w:t>Question(s):</w:t>
            </w:r>
          </w:p>
        </w:tc>
        <w:tc>
          <w:tcPr>
            <w:tcW w:w="3625" w:type="dxa"/>
            <w:gridSpan w:val="2"/>
          </w:tcPr>
          <w:p w:rsidR="008110B0" w:rsidRPr="008110B0" w:rsidRDefault="008110B0" w:rsidP="008110B0">
            <w:r w:rsidRPr="008110B0">
              <w:t>13</w:t>
            </w:r>
            <w:r>
              <w:t>/15</w:t>
            </w:r>
          </w:p>
        </w:tc>
        <w:tc>
          <w:tcPr>
            <w:tcW w:w="4681" w:type="dxa"/>
            <w:gridSpan w:val="2"/>
          </w:tcPr>
          <w:p w:rsidR="008110B0" w:rsidRPr="008110B0" w:rsidRDefault="008110B0" w:rsidP="008110B0">
            <w:pPr>
              <w:jc w:val="right"/>
            </w:pPr>
            <w:r w:rsidRPr="008110B0">
              <w:t>Geneva, 19-30 June 2017</w:t>
            </w:r>
          </w:p>
        </w:tc>
      </w:tr>
      <w:tr w:rsidR="008110B0" w:rsidRPr="008110B0" w:rsidTr="00F23C36">
        <w:trPr>
          <w:cantSplit/>
        </w:trPr>
        <w:tc>
          <w:tcPr>
            <w:tcW w:w="9923" w:type="dxa"/>
            <w:gridSpan w:val="7"/>
          </w:tcPr>
          <w:p w:rsidR="008110B0" w:rsidRPr="008110B0" w:rsidRDefault="008110B0" w:rsidP="008110B0">
            <w:pPr>
              <w:jc w:val="center"/>
              <w:rPr>
                <w:b/>
                <w:bCs/>
              </w:rPr>
            </w:pPr>
            <w:bookmarkStart w:id="6" w:name="ddoctype" w:colFirst="0" w:colLast="0"/>
            <w:bookmarkEnd w:id="4"/>
            <w:bookmarkEnd w:id="5"/>
            <w:r>
              <w:rPr>
                <w:b/>
                <w:bCs/>
              </w:rPr>
              <w:t>Ref. SG15-TD29R1/PLEN Annex L</w:t>
            </w:r>
          </w:p>
        </w:tc>
      </w:tr>
      <w:tr w:rsidR="008110B0" w:rsidRPr="008110B0" w:rsidTr="00F23C36">
        <w:trPr>
          <w:cantSplit/>
        </w:trPr>
        <w:tc>
          <w:tcPr>
            <w:tcW w:w="1617" w:type="dxa"/>
            <w:gridSpan w:val="3"/>
          </w:tcPr>
          <w:p w:rsidR="008110B0" w:rsidRPr="008110B0" w:rsidRDefault="008110B0" w:rsidP="008110B0">
            <w:pPr>
              <w:rPr>
                <w:b/>
                <w:bCs/>
              </w:rPr>
            </w:pPr>
            <w:bookmarkStart w:id="7" w:name="dsource" w:colFirst="1" w:colLast="1"/>
            <w:bookmarkEnd w:id="6"/>
            <w:r w:rsidRPr="008110B0">
              <w:rPr>
                <w:b/>
                <w:bCs/>
              </w:rPr>
              <w:t>Source:</w:t>
            </w:r>
          </w:p>
        </w:tc>
        <w:tc>
          <w:tcPr>
            <w:tcW w:w="8306" w:type="dxa"/>
            <w:gridSpan w:val="4"/>
          </w:tcPr>
          <w:p w:rsidR="008110B0" w:rsidRPr="008110B0" w:rsidRDefault="008110B0" w:rsidP="008110B0">
            <w:r w:rsidRPr="008110B0">
              <w:t>ITU-T S</w:t>
            </w:r>
            <w:r w:rsidR="003C3885">
              <w:t xml:space="preserve">tudy </w:t>
            </w:r>
            <w:r w:rsidRPr="008110B0">
              <w:t>G15</w:t>
            </w:r>
          </w:p>
        </w:tc>
      </w:tr>
      <w:tr w:rsidR="008110B0" w:rsidRPr="008110B0" w:rsidTr="00F23C36">
        <w:trPr>
          <w:cantSplit/>
        </w:trPr>
        <w:tc>
          <w:tcPr>
            <w:tcW w:w="1617" w:type="dxa"/>
            <w:gridSpan w:val="3"/>
          </w:tcPr>
          <w:p w:rsidR="008110B0" w:rsidRPr="008110B0" w:rsidRDefault="008110B0" w:rsidP="008110B0">
            <w:bookmarkStart w:id="8" w:name="dtitle1" w:colFirst="1" w:colLast="1"/>
            <w:bookmarkEnd w:id="7"/>
            <w:r w:rsidRPr="008110B0">
              <w:rPr>
                <w:b/>
                <w:bCs/>
              </w:rPr>
              <w:t>Title:</w:t>
            </w:r>
          </w:p>
        </w:tc>
        <w:tc>
          <w:tcPr>
            <w:tcW w:w="8306" w:type="dxa"/>
            <w:gridSpan w:val="4"/>
          </w:tcPr>
          <w:p w:rsidR="008110B0" w:rsidRPr="008110B0" w:rsidRDefault="008110B0" w:rsidP="008110B0">
            <w:r w:rsidRPr="008110B0">
              <w:t>Updates on ITU-T Recommendations dealing with full timing support</w:t>
            </w:r>
          </w:p>
        </w:tc>
      </w:tr>
      <w:bookmarkEnd w:id="8"/>
      <w:bookmarkEnd w:id="1"/>
      <w:tr w:rsidR="002A2BC4" w:rsidTr="00111C05">
        <w:trPr>
          <w:cantSplit/>
          <w:trHeight w:val="357"/>
        </w:trPr>
        <w:tc>
          <w:tcPr>
            <w:tcW w:w="9923" w:type="dxa"/>
            <w:gridSpan w:val="7"/>
            <w:tcBorders>
              <w:top w:val="single" w:sz="12" w:space="0" w:color="auto"/>
            </w:tcBorders>
          </w:tcPr>
          <w:p w:rsidR="002A2BC4" w:rsidRDefault="002A2BC4" w:rsidP="00111C05">
            <w:pPr>
              <w:jc w:val="center"/>
              <w:rPr>
                <w:b/>
              </w:rPr>
            </w:pPr>
            <w:r>
              <w:rPr>
                <w:b/>
              </w:rPr>
              <w:t>LIAISON STATEMENT</w:t>
            </w:r>
          </w:p>
        </w:tc>
      </w:tr>
      <w:tr w:rsidR="002A2BC4" w:rsidTr="00111C05">
        <w:trPr>
          <w:cantSplit/>
          <w:trHeight w:val="357"/>
        </w:trPr>
        <w:tc>
          <w:tcPr>
            <w:tcW w:w="2127" w:type="dxa"/>
            <w:gridSpan w:val="4"/>
          </w:tcPr>
          <w:p w:rsidR="002A2BC4" w:rsidRPr="003869CD" w:rsidRDefault="002A2BC4" w:rsidP="00111C05">
            <w:pPr>
              <w:rPr>
                <w:b/>
                <w:bCs/>
              </w:rPr>
            </w:pPr>
            <w:r w:rsidRPr="003869CD">
              <w:rPr>
                <w:b/>
                <w:bCs/>
              </w:rPr>
              <w:t>For action to:</w:t>
            </w:r>
          </w:p>
        </w:tc>
        <w:tc>
          <w:tcPr>
            <w:tcW w:w="7796" w:type="dxa"/>
            <w:gridSpan w:val="3"/>
          </w:tcPr>
          <w:p w:rsidR="002A2BC4" w:rsidRDefault="002A2BC4" w:rsidP="00111C05">
            <w:pPr>
              <w:pStyle w:val="LSForAction"/>
            </w:pPr>
            <w:r>
              <w:t>IEEE 802.1</w:t>
            </w:r>
          </w:p>
        </w:tc>
      </w:tr>
      <w:tr w:rsidR="002A2BC4" w:rsidTr="00111C05">
        <w:trPr>
          <w:cantSplit/>
          <w:trHeight w:val="357"/>
        </w:trPr>
        <w:tc>
          <w:tcPr>
            <w:tcW w:w="2127" w:type="dxa"/>
            <w:gridSpan w:val="4"/>
          </w:tcPr>
          <w:p w:rsidR="002A2BC4" w:rsidRPr="003869CD" w:rsidRDefault="002A2BC4" w:rsidP="00111C05">
            <w:pPr>
              <w:rPr>
                <w:b/>
                <w:bCs/>
              </w:rPr>
            </w:pPr>
            <w:r w:rsidRPr="003869CD">
              <w:rPr>
                <w:b/>
                <w:bCs/>
              </w:rPr>
              <w:t>For comment to:</w:t>
            </w:r>
          </w:p>
        </w:tc>
        <w:tc>
          <w:tcPr>
            <w:tcW w:w="7796" w:type="dxa"/>
            <w:gridSpan w:val="3"/>
          </w:tcPr>
          <w:p w:rsidR="002A2BC4" w:rsidRDefault="002A2BC4" w:rsidP="00111C05">
            <w:pPr>
              <w:pStyle w:val="LSForComment"/>
            </w:pPr>
          </w:p>
        </w:tc>
      </w:tr>
      <w:tr w:rsidR="002A2BC4" w:rsidTr="00111C05">
        <w:trPr>
          <w:cantSplit/>
          <w:trHeight w:val="357"/>
        </w:trPr>
        <w:tc>
          <w:tcPr>
            <w:tcW w:w="2127" w:type="dxa"/>
            <w:gridSpan w:val="4"/>
          </w:tcPr>
          <w:p w:rsidR="002A2BC4" w:rsidRPr="003869CD" w:rsidRDefault="002A2BC4" w:rsidP="00111C05">
            <w:pPr>
              <w:rPr>
                <w:b/>
                <w:bCs/>
              </w:rPr>
            </w:pPr>
            <w:r w:rsidRPr="003869CD">
              <w:rPr>
                <w:b/>
                <w:bCs/>
              </w:rPr>
              <w:t>For information to:</w:t>
            </w:r>
          </w:p>
        </w:tc>
        <w:tc>
          <w:tcPr>
            <w:tcW w:w="7796" w:type="dxa"/>
            <w:gridSpan w:val="3"/>
          </w:tcPr>
          <w:p w:rsidR="002A2BC4" w:rsidRDefault="002A2BC4" w:rsidP="00111C05">
            <w:pPr>
              <w:pStyle w:val="LSForInfo"/>
            </w:pPr>
          </w:p>
        </w:tc>
      </w:tr>
      <w:tr w:rsidR="002A2BC4" w:rsidTr="00111C05">
        <w:trPr>
          <w:cantSplit/>
          <w:trHeight w:val="357"/>
        </w:trPr>
        <w:tc>
          <w:tcPr>
            <w:tcW w:w="2127" w:type="dxa"/>
            <w:gridSpan w:val="4"/>
          </w:tcPr>
          <w:p w:rsidR="002A2BC4" w:rsidRDefault="002A2BC4" w:rsidP="00111C05">
            <w:pPr>
              <w:rPr>
                <w:b/>
                <w:bCs/>
              </w:rPr>
            </w:pPr>
            <w:r>
              <w:rPr>
                <w:b/>
                <w:bCs/>
              </w:rPr>
              <w:t>Approval:</w:t>
            </w:r>
          </w:p>
        </w:tc>
        <w:tc>
          <w:tcPr>
            <w:tcW w:w="7796" w:type="dxa"/>
            <w:gridSpan w:val="3"/>
          </w:tcPr>
          <w:p w:rsidR="002A2BC4" w:rsidRPr="003869CD" w:rsidRDefault="0092383E" w:rsidP="00111C05">
            <w:pPr>
              <w:rPr>
                <w:b/>
                <w:bCs/>
              </w:rPr>
            </w:pPr>
            <w:r>
              <w:rPr>
                <w:b/>
                <w:bCs/>
              </w:rPr>
              <w:t>ITU-T SG15 meeting (Geneva, 30 June 2017)</w:t>
            </w:r>
          </w:p>
        </w:tc>
      </w:tr>
      <w:tr w:rsidR="002A2BC4" w:rsidTr="00111C05">
        <w:trPr>
          <w:cantSplit/>
          <w:trHeight w:val="357"/>
        </w:trPr>
        <w:tc>
          <w:tcPr>
            <w:tcW w:w="2127" w:type="dxa"/>
            <w:gridSpan w:val="4"/>
            <w:tcBorders>
              <w:bottom w:val="single" w:sz="12" w:space="0" w:color="auto"/>
            </w:tcBorders>
          </w:tcPr>
          <w:p w:rsidR="002A2BC4" w:rsidRDefault="002A2BC4" w:rsidP="00111C05">
            <w:pPr>
              <w:rPr>
                <w:b/>
                <w:bCs/>
              </w:rPr>
            </w:pPr>
            <w:r>
              <w:rPr>
                <w:b/>
                <w:bCs/>
              </w:rPr>
              <w:t>Deadline:</w:t>
            </w:r>
          </w:p>
        </w:tc>
        <w:tc>
          <w:tcPr>
            <w:tcW w:w="7796" w:type="dxa"/>
            <w:gridSpan w:val="3"/>
            <w:tcBorders>
              <w:bottom w:val="single" w:sz="12" w:space="0" w:color="auto"/>
            </w:tcBorders>
          </w:tcPr>
          <w:p w:rsidR="002A2BC4" w:rsidRDefault="002A2BC4" w:rsidP="0092383E">
            <w:pPr>
              <w:pStyle w:val="LSDeadline"/>
            </w:pPr>
            <w:r>
              <w:t>29 September 2017</w:t>
            </w:r>
          </w:p>
        </w:tc>
      </w:tr>
      <w:tr w:rsidR="002A2BC4" w:rsidRPr="0049090D" w:rsidTr="00111C05">
        <w:trPr>
          <w:cantSplit/>
        </w:trPr>
        <w:tc>
          <w:tcPr>
            <w:tcW w:w="1607" w:type="dxa"/>
            <w:gridSpan w:val="2"/>
            <w:tcBorders>
              <w:top w:val="single" w:sz="8" w:space="0" w:color="auto"/>
              <w:bottom w:val="single" w:sz="8" w:space="0" w:color="auto"/>
            </w:tcBorders>
          </w:tcPr>
          <w:p w:rsidR="002A2BC4" w:rsidRPr="00136DDD" w:rsidRDefault="002A2BC4" w:rsidP="00111C05">
            <w:pPr>
              <w:rPr>
                <w:b/>
                <w:bCs/>
              </w:rPr>
            </w:pPr>
            <w:r w:rsidRPr="00136DDD">
              <w:rPr>
                <w:b/>
                <w:bCs/>
              </w:rPr>
              <w:t>Contact:</w:t>
            </w:r>
          </w:p>
        </w:tc>
        <w:tc>
          <w:tcPr>
            <w:tcW w:w="3780" w:type="dxa"/>
            <w:gridSpan w:val="4"/>
            <w:tcBorders>
              <w:top w:val="single" w:sz="8" w:space="0" w:color="auto"/>
              <w:bottom w:val="single" w:sz="8" w:space="0" w:color="auto"/>
            </w:tcBorders>
          </w:tcPr>
          <w:p w:rsidR="002A2BC4" w:rsidRPr="00136DDD" w:rsidRDefault="002A3B33" w:rsidP="00111C05">
            <w:sdt>
              <w:sdtPr>
                <w:rPr>
                  <w:rFonts w:eastAsia="Times New Roman"/>
                  <w:lang w:val="fr-FR" w:eastAsia="en-US"/>
                </w:rPr>
                <w:alias w:val="ContactNameOrgCountry"/>
                <w:tag w:val="ContactNameOrgCountry"/>
                <w:id w:val="-1399671956"/>
                <w:placeholder>
                  <w:docPart w:val="C033526898E44F9B993BD23E2192E74C"/>
                </w:placeholder>
                <w:text w:multiLine="1"/>
              </w:sdtPr>
              <w:sdtEndPr/>
              <w:sdtContent>
                <w:r w:rsidR="002A2BC4" w:rsidRPr="00433D08">
                  <w:rPr>
                    <w:rFonts w:eastAsia="Times New Roman"/>
                    <w:lang w:val="fr-FR" w:eastAsia="en-US"/>
                  </w:rPr>
                  <w:t>Stefano Ruffini</w:t>
                </w:r>
                <w:r w:rsidR="002A2BC4">
                  <w:rPr>
                    <w:rFonts w:eastAsia="Times New Roman"/>
                    <w:lang w:val="fr-FR" w:eastAsia="en-US"/>
                  </w:rPr>
                  <w:br/>
                </w:r>
                <w:r w:rsidR="002A2BC4" w:rsidRPr="00433D08">
                  <w:rPr>
                    <w:rFonts w:eastAsia="Times New Roman"/>
                    <w:lang w:val="fr-FR" w:eastAsia="en-US"/>
                  </w:rPr>
                  <w:t>Ericsson</w:t>
                </w:r>
                <w:r w:rsidR="002A2BC4">
                  <w:rPr>
                    <w:rFonts w:eastAsia="Times New Roman"/>
                    <w:lang w:val="fr-FR" w:eastAsia="en-US"/>
                  </w:rPr>
                  <w:br/>
                </w:r>
                <w:proofErr w:type="spellStart"/>
                <w:r w:rsidR="002A2BC4">
                  <w:rPr>
                    <w:rFonts w:eastAsia="Times New Roman"/>
                    <w:lang w:val="fr-FR" w:eastAsia="en-US"/>
                  </w:rPr>
                  <w:t>Sweden</w:t>
                </w:r>
                <w:proofErr w:type="spellEnd"/>
              </w:sdtContent>
            </w:sdt>
          </w:p>
        </w:tc>
        <w:sdt>
          <w:sdtPr>
            <w:alias w:val="ContactTelFaxEmail"/>
            <w:tag w:val="ContactTelFaxEmail"/>
            <w:id w:val="-1701308822"/>
            <w:placeholder>
              <w:docPart w:val="E1D771B8F75347A7B9C83969B606AC6C"/>
            </w:placeholder>
          </w:sdtPr>
          <w:sdtEndPr/>
          <w:sdtContent>
            <w:tc>
              <w:tcPr>
                <w:tcW w:w="4536" w:type="dxa"/>
                <w:tcBorders>
                  <w:top w:val="single" w:sz="8" w:space="0" w:color="auto"/>
                  <w:bottom w:val="single" w:sz="8" w:space="0" w:color="auto"/>
                </w:tcBorders>
              </w:tcPr>
              <w:p w:rsidR="002A2BC4" w:rsidRPr="00061268" w:rsidRDefault="002A2BC4" w:rsidP="0092383E">
                <w:pPr>
                  <w:rPr>
                    <w:lang w:val="pt-BR"/>
                  </w:rPr>
                </w:pPr>
                <w:r>
                  <w:rPr>
                    <w:lang w:val="pt-BR"/>
                  </w:rPr>
                  <w:t>E-mail: stefano.ruffini@ericsson</w:t>
                </w:r>
                <w:r w:rsidRPr="00FF1151">
                  <w:rPr>
                    <w:lang w:val="pt-BR"/>
                  </w:rPr>
                  <w:t>.com</w:t>
                </w:r>
              </w:p>
            </w:tc>
          </w:sdtContent>
        </w:sdt>
      </w:tr>
      <w:tr w:rsidR="002A2BC4" w:rsidRPr="0049090D" w:rsidTr="00111C05">
        <w:trPr>
          <w:cantSplit/>
        </w:trPr>
        <w:tc>
          <w:tcPr>
            <w:tcW w:w="1607" w:type="dxa"/>
            <w:gridSpan w:val="2"/>
            <w:tcBorders>
              <w:top w:val="single" w:sz="8" w:space="0" w:color="auto"/>
              <w:bottom w:val="single" w:sz="8" w:space="0" w:color="auto"/>
            </w:tcBorders>
          </w:tcPr>
          <w:p w:rsidR="002A2BC4" w:rsidRPr="00136DDD" w:rsidRDefault="002A2BC4" w:rsidP="00111C05">
            <w:pPr>
              <w:rPr>
                <w:b/>
                <w:bCs/>
              </w:rPr>
            </w:pPr>
            <w:r w:rsidRPr="00136DDD">
              <w:rPr>
                <w:b/>
                <w:bCs/>
              </w:rPr>
              <w:t>Contact:</w:t>
            </w:r>
          </w:p>
        </w:tc>
        <w:tc>
          <w:tcPr>
            <w:tcW w:w="3780" w:type="dxa"/>
            <w:gridSpan w:val="4"/>
            <w:tcBorders>
              <w:top w:val="single" w:sz="8" w:space="0" w:color="auto"/>
              <w:bottom w:val="single" w:sz="8" w:space="0" w:color="auto"/>
            </w:tcBorders>
          </w:tcPr>
          <w:p w:rsidR="002A2BC4" w:rsidRPr="00136DDD" w:rsidRDefault="002A3B33" w:rsidP="00111C05">
            <w:sdt>
              <w:sdtPr>
                <w:rPr>
                  <w:rFonts w:eastAsia="Times New Roman"/>
                  <w:lang w:val="fr-FR" w:eastAsia="en-US"/>
                </w:rPr>
                <w:alias w:val="ContactNameOrgCountry"/>
                <w:tag w:val="ContactNameOrgCountry"/>
                <w:id w:val="1010186077"/>
                <w:placeholder>
                  <w:docPart w:val="FB6E2F8C936D42D6B5A8377B555BD616"/>
                </w:placeholder>
                <w:text w:multiLine="1"/>
              </w:sdtPr>
              <w:sdtEndPr/>
              <w:sdtContent>
                <w:r w:rsidR="002A2BC4">
                  <w:rPr>
                    <w:rFonts w:eastAsia="Times New Roman"/>
                    <w:lang w:val="fr-FR" w:eastAsia="en-US"/>
                  </w:rPr>
                  <w:t>Silvana Rodrigues</w:t>
                </w:r>
                <w:r w:rsidR="002A2BC4">
                  <w:rPr>
                    <w:rFonts w:eastAsia="Times New Roman"/>
                    <w:lang w:val="fr-FR" w:eastAsia="en-US"/>
                  </w:rPr>
                  <w:br/>
                  <w:t>IDT</w:t>
                </w:r>
                <w:r w:rsidR="002A2BC4">
                  <w:rPr>
                    <w:rFonts w:eastAsia="Times New Roman"/>
                    <w:lang w:val="fr-FR" w:eastAsia="en-US"/>
                  </w:rPr>
                  <w:br/>
                  <w:t>Canada</w:t>
                </w:r>
              </w:sdtContent>
            </w:sdt>
          </w:p>
        </w:tc>
        <w:sdt>
          <w:sdtPr>
            <w:alias w:val="ContactTelFaxEmail"/>
            <w:tag w:val="ContactTelFaxEmail"/>
            <w:id w:val="1009338955"/>
            <w:placeholder>
              <w:docPart w:val="6B5464C6A1FB46589EFF8A8BB29AC9F7"/>
            </w:placeholder>
          </w:sdtPr>
          <w:sdtEndPr/>
          <w:sdtContent>
            <w:tc>
              <w:tcPr>
                <w:tcW w:w="4536" w:type="dxa"/>
                <w:tcBorders>
                  <w:top w:val="single" w:sz="8" w:space="0" w:color="auto"/>
                  <w:bottom w:val="single" w:sz="8" w:space="0" w:color="auto"/>
                </w:tcBorders>
              </w:tcPr>
              <w:p w:rsidR="002A2BC4" w:rsidRPr="00061268" w:rsidRDefault="002A2BC4" w:rsidP="0092383E">
                <w:pPr>
                  <w:rPr>
                    <w:lang w:val="pt-BR"/>
                  </w:rPr>
                </w:pPr>
                <w:r>
                  <w:rPr>
                    <w:lang w:val="pt-BR"/>
                  </w:rPr>
                  <w:t>E-mail: silvana.rodrigues@idt</w:t>
                </w:r>
                <w:r w:rsidRPr="00FF1151">
                  <w:rPr>
                    <w:lang w:val="pt-BR"/>
                  </w:rPr>
                  <w:t>.com</w:t>
                </w:r>
              </w:p>
            </w:tc>
          </w:sdtContent>
        </w:sdt>
      </w:tr>
    </w:tbl>
    <w:p w:rsidR="002A2BC4" w:rsidRDefault="002A2BC4" w:rsidP="002A2BC4">
      <w:r>
        <w:t xml:space="preserve">ITU-T Q13 reviewed the status of the work in IEEE 802.1CM at the last SG15 meeting as presented by the IEEE </w:t>
      </w:r>
      <w:r w:rsidRPr="00682184">
        <w:t>802.1 Liaison Rapporteur.</w:t>
      </w:r>
      <w:r>
        <w:t xml:space="preserve"> </w:t>
      </w:r>
    </w:p>
    <w:p w:rsidR="002A2BC4" w:rsidRDefault="002A2BC4" w:rsidP="002A2BC4">
      <w:r>
        <w:t>With respect to the updates on the IEEE 802.1CM project it was confirmed there is interest on the work done by Q13 on the PTP Telecom profile (full timing support).</w:t>
      </w:r>
    </w:p>
    <w:p w:rsidR="002A2BC4" w:rsidRDefault="002A2BC4" w:rsidP="002A2BC4">
      <w:r>
        <w:t xml:space="preserve">Several updates have been made at this meeting by Q13 on various recommendations including those related to the Telecom profile for time synchronization with full timing support from the network such as G.8273.2 Amd1, G.8271 Amd1, G.8271.1 Revision, G.8273.3, </w:t>
      </w:r>
      <w:proofErr w:type="gramStart"/>
      <w:r>
        <w:t>G.8275.1</w:t>
      </w:r>
      <w:proofErr w:type="gramEnd"/>
      <w:r>
        <w:t xml:space="preserve"> Amd1.</w:t>
      </w:r>
    </w:p>
    <w:p w:rsidR="002A2BC4" w:rsidRDefault="002A2BC4" w:rsidP="002A2BC4">
      <w:r>
        <w:t>To mention that some clarification was included in G.8271.1 concerning the applicability of G.8273.2 requirements to T-TSC embedded in an End Application such as a base station. This was an item mentioned during our discussions as of potential interest for your group (see clause 7 in G.8271.1).</w:t>
      </w:r>
    </w:p>
    <w:p w:rsidR="002A2BC4" w:rsidRDefault="002A2BC4" w:rsidP="002A2BC4">
      <w:pPr>
        <w:rPr>
          <w:lang w:eastAsia="zh-CN"/>
        </w:rPr>
      </w:pPr>
    </w:p>
    <w:p w:rsidR="002A2BC4" w:rsidRDefault="002A2BC4" w:rsidP="002A2BC4">
      <w:pPr>
        <w:rPr>
          <w:lang w:eastAsia="zh-CN"/>
        </w:rPr>
      </w:pPr>
      <w:r>
        <w:rPr>
          <w:lang w:eastAsia="zh-CN"/>
        </w:rPr>
        <w:t>We take the opportunity to remind you that at the following link you can access the full Recommendations:</w:t>
      </w:r>
    </w:p>
    <w:p w:rsidR="002A2BC4" w:rsidRDefault="002A3B33" w:rsidP="002A2BC4">
      <w:pPr>
        <w:rPr>
          <w:lang w:eastAsia="zh-CN"/>
        </w:rPr>
      </w:pPr>
      <w:hyperlink r:id="rId8" w:history="1">
        <w:r w:rsidR="002A2BC4">
          <w:rPr>
            <w:rStyle w:val="Hyperlink"/>
            <w:lang w:eastAsia="zh-CN"/>
          </w:rPr>
          <w:t>http://www.itu.int/ITU-T/recommendations/index_sg.aspx?sg=15</w:t>
        </w:r>
      </w:hyperlink>
      <w:r w:rsidR="002A2BC4">
        <w:rPr>
          <w:lang w:eastAsia="zh-CN"/>
        </w:rPr>
        <w:t xml:space="preserve"> </w:t>
      </w:r>
    </w:p>
    <w:p w:rsidR="002A2BC4" w:rsidRDefault="002A2BC4" w:rsidP="002A2BC4">
      <w:pPr>
        <w:rPr>
          <w:lang w:eastAsia="zh-CN"/>
        </w:rPr>
      </w:pPr>
    </w:p>
    <w:p w:rsidR="002A2BC4" w:rsidRDefault="002A2BC4" w:rsidP="002A2BC4">
      <w:pPr>
        <w:rPr>
          <w:lang w:eastAsia="zh-CN"/>
        </w:rPr>
      </w:pPr>
      <w:r>
        <w:rPr>
          <w:lang w:eastAsia="zh-CN"/>
        </w:rPr>
        <w:t>Q13 would also be interested in receiving a draft of the IEEE 802.1CM as soon as you consider it suitable to be shared.</w:t>
      </w:r>
    </w:p>
    <w:p w:rsidR="002A2BC4" w:rsidRPr="00B260BD" w:rsidRDefault="002A2BC4" w:rsidP="002A2BC4">
      <w:pPr>
        <w:rPr>
          <w:lang w:eastAsia="zh-CN"/>
        </w:rPr>
      </w:pPr>
    </w:p>
    <w:p w:rsidR="002A2BC4" w:rsidRPr="00B260BD" w:rsidRDefault="002A2BC4" w:rsidP="002A2BC4">
      <w:pPr>
        <w:rPr>
          <w:lang w:eastAsia="zh-CN"/>
        </w:rPr>
      </w:pPr>
      <w:r>
        <w:rPr>
          <w:lang w:eastAsia="zh-CN"/>
        </w:rPr>
        <w:lastRenderedPageBreak/>
        <w:t xml:space="preserve">We </w:t>
      </w:r>
      <w:r w:rsidRPr="00B650E3">
        <w:rPr>
          <w:lang w:eastAsia="zh-CN"/>
        </w:rPr>
        <w:t xml:space="preserve">look forward for a </w:t>
      </w:r>
      <w:r>
        <w:rPr>
          <w:lang w:eastAsia="zh-CN"/>
        </w:rPr>
        <w:t xml:space="preserve">continued </w:t>
      </w:r>
      <w:r w:rsidRPr="00B650E3">
        <w:rPr>
          <w:lang w:eastAsia="zh-CN"/>
        </w:rPr>
        <w:t>fruitful cooperation</w:t>
      </w:r>
      <w:r>
        <w:rPr>
          <w:lang w:eastAsia="zh-CN"/>
        </w:rPr>
        <w:t>.</w:t>
      </w:r>
    </w:p>
    <w:p w:rsidR="002A2BC4" w:rsidRDefault="002A2BC4" w:rsidP="002A2BC4">
      <w:pPr>
        <w:rPr>
          <w:lang w:eastAsia="zh-CN"/>
        </w:rPr>
      </w:pPr>
    </w:p>
    <w:p w:rsidR="002A2BC4" w:rsidRDefault="002A2BC4" w:rsidP="002A2BC4">
      <w:pPr>
        <w:pStyle w:val="Heading2"/>
        <w:rPr>
          <w:lang w:eastAsia="zh-CN"/>
        </w:rPr>
      </w:pPr>
      <w:r>
        <w:rPr>
          <w:rFonts w:hint="eastAsia"/>
          <w:lang w:eastAsia="zh-CN"/>
        </w:rPr>
        <w:t>References</w:t>
      </w:r>
      <w:r w:rsidR="002A3B33">
        <w:rPr>
          <w:lang w:eastAsia="zh-CN"/>
        </w:rPr>
        <w:t xml:space="preserve"> (consented drafts are attached)</w:t>
      </w:r>
    </w:p>
    <w:p w:rsidR="002A2BC4" w:rsidRPr="00CB67D8" w:rsidRDefault="002A2BC4" w:rsidP="002A2BC4">
      <w:pPr>
        <w:numPr>
          <w:ilvl w:val="0"/>
          <w:numId w:val="1"/>
        </w:numPr>
        <w:tabs>
          <w:tab w:val="left" w:pos="450"/>
          <w:tab w:val="left" w:pos="1191"/>
          <w:tab w:val="left" w:pos="1588"/>
          <w:tab w:val="left" w:pos="1985"/>
        </w:tabs>
        <w:overflowPunct w:val="0"/>
        <w:autoSpaceDE w:val="0"/>
        <w:autoSpaceDN w:val="0"/>
        <w:adjustRightInd w:val="0"/>
        <w:textAlignment w:val="baseline"/>
        <w:rPr>
          <w:lang w:eastAsia="zh-CN"/>
        </w:rPr>
      </w:pPr>
      <w:r>
        <w:rPr>
          <w:rFonts w:hint="eastAsia"/>
          <w:lang w:eastAsia="zh-CN"/>
        </w:rPr>
        <w:t>ITU-T G.8271</w:t>
      </w:r>
      <w:r>
        <w:rPr>
          <w:lang w:eastAsia="zh-CN"/>
        </w:rPr>
        <w:t>.1</w:t>
      </w:r>
      <w:r>
        <w:rPr>
          <w:rFonts w:hint="eastAsia"/>
          <w:lang w:eastAsia="zh-CN"/>
        </w:rPr>
        <w:t xml:space="preserve">, </w:t>
      </w:r>
      <w:r w:rsidRPr="007622FC">
        <w:rPr>
          <w:lang w:eastAsia="zh-CN"/>
        </w:rPr>
        <w:t>Network limits for time synchronization in packet</w:t>
      </w:r>
      <w:r>
        <w:rPr>
          <w:lang w:eastAsia="zh-CN"/>
        </w:rPr>
        <w:t xml:space="preserve"> networks</w:t>
      </w:r>
      <w:r w:rsidR="002A3B33">
        <w:rPr>
          <w:lang w:eastAsia="zh-CN"/>
        </w:rPr>
        <w:t xml:space="preserve"> (TD83-R1/PLEN)</w:t>
      </w:r>
    </w:p>
    <w:p w:rsidR="002A2BC4" w:rsidRDefault="002A2BC4" w:rsidP="002A2BC4">
      <w:pPr>
        <w:numPr>
          <w:ilvl w:val="0"/>
          <w:numId w:val="1"/>
        </w:numPr>
        <w:tabs>
          <w:tab w:val="left" w:pos="450"/>
          <w:tab w:val="left" w:pos="1191"/>
          <w:tab w:val="left" w:pos="1588"/>
          <w:tab w:val="left" w:pos="1985"/>
        </w:tabs>
        <w:overflowPunct w:val="0"/>
        <w:autoSpaceDE w:val="0"/>
        <w:autoSpaceDN w:val="0"/>
        <w:adjustRightInd w:val="0"/>
        <w:ind w:left="446" w:hanging="446"/>
        <w:textAlignment w:val="baseline"/>
        <w:rPr>
          <w:sz w:val="22"/>
          <w:szCs w:val="22"/>
          <w:lang w:val="en-US" w:eastAsia="zh-CN"/>
        </w:rPr>
      </w:pPr>
      <w:r>
        <w:rPr>
          <w:rFonts w:hint="eastAsia"/>
          <w:lang w:eastAsia="zh-CN"/>
        </w:rPr>
        <w:t xml:space="preserve">ITU-T </w:t>
      </w:r>
      <w:r>
        <w:t>G.8273.2 Amd1,</w:t>
      </w:r>
      <w:r w:rsidRPr="00CB67D8">
        <w:t xml:space="preserve"> </w:t>
      </w:r>
      <w:r>
        <w:t>Timing characteristics of telecom boundary clocks and telecom time slave clocks, Amendment 1</w:t>
      </w:r>
      <w:r w:rsidR="002A3B33">
        <w:t xml:space="preserve"> (TD64-R2/PLEN)</w:t>
      </w:r>
    </w:p>
    <w:p w:rsidR="002A2BC4" w:rsidRPr="00A8665F" w:rsidRDefault="002A2BC4" w:rsidP="002A2BC4">
      <w:pPr>
        <w:numPr>
          <w:ilvl w:val="0"/>
          <w:numId w:val="1"/>
        </w:numPr>
        <w:tabs>
          <w:tab w:val="left" w:pos="450"/>
          <w:tab w:val="left" w:pos="1191"/>
          <w:tab w:val="left" w:pos="1588"/>
          <w:tab w:val="left" w:pos="1985"/>
        </w:tabs>
        <w:overflowPunct w:val="0"/>
        <w:autoSpaceDE w:val="0"/>
        <w:autoSpaceDN w:val="0"/>
        <w:adjustRightInd w:val="0"/>
        <w:ind w:left="446" w:hanging="446"/>
        <w:textAlignment w:val="baseline"/>
        <w:rPr>
          <w:sz w:val="22"/>
          <w:szCs w:val="22"/>
          <w:lang w:val="en-US" w:eastAsia="zh-CN"/>
        </w:rPr>
      </w:pPr>
      <w:r>
        <w:t xml:space="preserve"> </w:t>
      </w:r>
      <w:r>
        <w:rPr>
          <w:rFonts w:hint="eastAsia"/>
          <w:lang w:eastAsia="zh-CN"/>
        </w:rPr>
        <w:t xml:space="preserve">ITU-T </w:t>
      </w:r>
      <w:r>
        <w:t xml:space="preserve">G.8271 Amd1, </w:t>
      </w:r>
      <w:r w:rsidRPr="00A8665F">
        <w:t>Time and phase synchronization aspects of telecommunications networks: Amendment</w:t>
      </w:r>
      <w:r>
        <w:t xml:space="preserve"> 1</w:t>
      </w:r>
      <w:r w:rsidR="002A3B33">
        <w:t xml:space="preserve"> (TD82-R1/PLEN)</w:t>
      </w:r>
    </w:p>
    <w:p w:rsidR="002A2BC4" w:rsidRDefault="002A2BC4" w:rsidP="002A2BC4">
      <w:pPr>
        <w:numPr>
          <w:ilvl w:val="0"/>
          <w:numId w:val="1"/>
        </w:numPr>
        <w:tabs>
          <w:tab w:val="left" w:pos="450"/>
          <w:tab w:val="left" w:pos="1191"/>
          <w:tab w:val="left" w:pos="1588"/>
          <w:tab w:val="left" w:pos="1985"/>
        </w:tabs>
        <w:overflowPunct w:val="0"/>
        <w:autoSpaceDE w:val="0"/>
        <w:autoSpaceDN w:val="0"/>
        <w:adjustRightInd w:val="0"/>
        <w:ind w:left="446" w:hanging="446"/>
        <w:textAlignment w:val="baseline"/>
        <w:rPr>
          <w:sz w:val="22"/>
          <w:szCs w:val="22"/>
          <w:lang w:val="en-US" w:eastAsia="zh-CN"/>
        </w:rPr>
      </w:pPr>
      <w:r>
        <w:rPr>
          <w:rFonts w:hint="eastAsia"/>
          <w:lang w:eastAsia="zh-CN"/>
        </w:rPr>
        <w:t xml:space="preserve">ITU-T </w:t>
      </w:r>
      <w:r>
        <w:t xml:space="preserve">G.8273.3, </w:t>
      </w:r>
      <w:r w:rsidRPr="00150319">
        <w:t>Timing characteristics of telecom transparent clocks</w:t>
      </w:r>
      <w:r w:rsidR="002A3B33">
        <w:t xml:space="preserve"> (TD65-R1/PLEN)</w:t>
      </w:r>
    </w:p>
    <w:p w:rsidR="002A2BC4" w:rsidRPr="0068722F" w:rsidRDefault="002A2BC4" w:rsidP="002A3B33">
      <w:pPr>
        <w:numPr>
          <w:ilvl w:val="0"/>
          <w:numId w:val="1"/>
        </w:numPr>
        <w:tabs>
          <w:tab w:val="left" w:pos="450"/>
          <w:tab w:val="left" w:pos="1191"/>
          <w:tab w:val="left" w:pos="1588"/>
          <w:tab w:val="left" w:pos="1985"/>
        </w:tabs>
        <w:overflowPunct w:val="0"/>
        <w:autoSpaceDE w:val="0"/>
        <w:autoSpaceDN w:val="0"/>
        <w:adjustRightInd w:val="0"/>
        <w:ind w:left="446" w:hanging="446"/>
        <w:textAlignment w:val="baseline"/>
        <w:rPr>
          <w:sz w:val="22"/>
          <w:szCs w:val="22"/>
          <w:lang w:val="en-US" w:eastAsia="zh-CN"/>
        </w:rPr>
      </w:pPr>
      <w:r>
        <w:rPr>
          <w:rFonts w:hint="eastAsia"/>
          <w:lang w:eastAsia="zh-CN"/>
        </w:rPr>
        <w:t xml:space="preserve">ITU-T </w:t>
      </w:r>
      <w:r>
        <w:t>G.8275.1 Amd1, Precision time protocol telecom profile for phase/time synchronization with full timing support from the network – Amendment 1</w:t>
      </w:r>
      <w:r w:rsidR="002A3B33">
        <w:t xml:space="preserve"> (TD91-R1/PLEN)</w:t>
      </w:r>
    </w:p>
    <w:p w:rsidR="002A2BC4" w:rsidRPr="00524B10" w:rsidRDefault="002A2BC4" w:rsidP="002A2BC4">
      <w:pPr>
        <w:numPr>
          <w:ilvl w:val="0"/>
          <w:numId w:val="1"/>
        </w:numPr>
        <w:tabs>
          <w:tab w:val="left" w:pos="450"/>
          <w:tab w:val="left" w:pos="1191"/>
          <w:tab w:val="left" w:pos="1588"/>
          <w:tab w:val="left" w:pos="1985"/>
        </w:tabs>
        <w:overflowPunct w:val="0"/>
        <w:autoSpaceDE w:val="0"/>
        <w:autoSpaceDN w:val="0"/>
        <w:adjustRightInd w:val="0"/>
        <w:ind w:left="446" w:hanging="446"/>
        <w:textAlignment w:val="baseline"/>
        <w:rPr>
          <w:sz w:val="22"/>
          <w:szCs w:val="22"/>
          <w:lang w:val="en-US" w:eastAsia="zh-CN"/>
        </w:rPr>
      </w:pPr>
      <w:r>
        <w:t xml:space="preserve">ITU-T G.8275, </w:t>
      </w:r>
      <w:r w:rsidRPr="00E66F51">
        <w:t>Architecture and requirements for packet-based time and phase distribution</w:t>
      </w:r>
      <w:r w:rsidR="002A3B33">
        <w:t xml:space="preserve"> (TD76-R1/PLEN)</w:t>
      </w:r>
    </w:p>
    <w:p w:rsidR="002A3B33" w:rsidRDefault="002A3B33" w:rsidP="002A2BC4"/>
    <w:p w:rsidR="002A3B33" w:rsidRPr="00136DDD" w:rsidRDefault="002A3B33" w:rsidP="002A2BC4">
      <w:bookmarkStart w:id="9" w:name="_GoBack"/>
      <w:bookmarkEnd w:id="9"/>
    </w:p>
    <w:p w:rsidR="002A2BC4" w:rsidRDefault="002A2BC4" w:rsidP="002A2BC4">
      <w:pPr>
        <w:jc w:val="center"/>
      </w:pPr>
      <w:r>
        <w:t>_______________________</w:t>
      </w:r>
    </w:p>
    <w:p w:rsidR="00BC177B" w:rsidRDefault="00BC177B"/>
    <w:sectPr w:rsidR="00BC177B" w:rsidSect="008110B0">
      <w:headerReference w:type="default" r:id="rId9"/>
      <w:pgSz w:w="11906" w:h="16838"/>
      <w:pgMar w:top="1417" w:right="1134" w:bottom="1417"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0B0" w:rsidRDefault="008110B0" w:rsidP="008110B0">
      <w:pPr>
        <w:spacing w:before="0"/>
      </w:pPr>
      <w:r>
        <w:separator/>
      </w:r>
    </w:p>
  </w:endnote>
  <w:endnote w:type="continuationSeparator" w:id="0">
    <w:p w:rsidR="008110B0" w:rsidRDefault="008110B0" w:rsidP="008110B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0B0" w:rsidRDefault="008110B0" w:rsidP="008110B0">
      <w:pPr>
        <w:spacing w:before="0"/>
      </w:pPr>
      <w:r>
        <w:separator/>
      </w:r>
    </w:p>
  </w:footnote>
  <w:footnote w:type="continuationSeparator" w:id="0">
    <w:p w:rsidR="008110B0" w:rsidRDefault="008110B0" w:rsidP="008110B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0B0" w:rsidRPr="008110B0" w:rsidRDefault="008110B0" w:rsidP="008110B0">
    <w:pPr>
      <w:pStyle w:val="Header"/>
      <w:jc w:val="center"/>
      <w:rPr>
        <w:sz w:val="18"/>
      </w:rPr>
    </w:pPr>
    <w:r w:rsidRPr="008110B0">
      <w:rPr>
        <w:sz w:val="18"/>
      </w:rPr>
      <w:t xml:space="preserve">- </w:t>
    </w:r>
    <w:r w:rsidRPr="008110B0">
      <w:rPr>
        <w:sz w:val="18"/>
      </w:rPr>
      <w:fldChar w:fldCharType="begin"/>
    </w:r>
    <w:r w:rsidRPr="008110B0">
      <w:rPr>
        <w:sz w:val="18"/>
      </w:rPr>
      <w:instrText xml:space="preserve"> PAGE  \* MERGEFORMAT </w:instrText>
    </w:r>
    <w:r w:rsidRPr="008110B0">
      <w:rPr>
        <w:sz w:val="18"/>
      </w:rPr>
      <w:fldChar w:fldCharType="separate"/>
    </w:r>
    <w:r w:rsidR="002A3B33">
      <w:rPr>
        <w:noProof/>
        <w:sz w:val="18"/>
      </w:rPr>
      <w:t>2</w:t>
    </w:r>
    <w:r w:rsidRPr="008110B0">
      <w:rPr>
        <w:sz w:val="18"/>
      </w:rPr>
      <w:fldChar w:fldCharType="end"/>
    </w:r>
    <w:r w:rsidRPr="008110B0">
      <w:rPr>
        <w:sz w:val="18"/>
      </w:rPr>
      <w:t xml:space="preserve"> -</w:t>
    </w:r>
  </w:p>
  <w:p w:rsidR="008110B0" w:rsidRPr="008110B0" w:rsidRDefault="008110B0" w:rsidP="008110B0">
    <w:pPr>
      <w:pStyle w:val="Header"/>
      <w:spacing w:after="240"/>
      <w:jc w:val="center"/>
      <w:rPr>
        <w:sz w:val="18"/>
      </w:rPr>
    </w:pPr>
    <w:r w:rsidRPr="008110B0">
      <w:rPr>
        <w:sz w:val="18"/>
      </w:rPr>
      <w:fldChar w:fldCharType="begin"/>
    </w:r>
    <w:r w:rsidRPr="008110B0">
      <w:rPr>
        <w:sz w:val="18"/>
      </w:rPr>
      <w:instrText xml:space="preserve"> STYLEREF  Docnumber  </w:instrText>
    </w:r>
    <w:r w:rsidRPr="008110B0">
      <w:rPr>
        <w:sz w:val="18"/>
      </w:rPr>
      <w:fldChar w:fldCharType="separate"/>
    </w:r>
    <w:r w:rsidR="002A3B33">
      <w:rPr>
        <w:noProof/>
        <w:sz w:val="18"/>
      </w:rPr>
      <w:t>SG15-LS51</w:t>
    </w:r>
    <w:r w:rsidRPr="008110B0">
      <w:rPr>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A13BC8"/>
    <w:multiLevelType w:val="hybridMultilevel"/>
    <w:tmpl w:val="E2905F1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BC4"/>
    <w:rsid w:val="00223F04"/>
    <w:rsid w:val="002A2BC4"/>
    <w:rsid w:val="002A3B33"/>
    <w:rsid w:val="003C3885"/>
    <w:rsid w:val="004C5CD3"/>
    <w:rsid w:val="008110B0"/>
    <w:rsid w:val="0092383E"/>
    <w:rsid w:val="00BC177B"/>
    <w:rsid w:val="00E33BE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760C8-86DD-4092-932A-12DA9549D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BC4"/>
    <w:pPr>
      <w:spacing w:before="120" w:after="0" w:line="240" w:lineRule="auto"/>
    </w:pPr>
    <w:rPr>
      <w:rFonts w:ascii="Times New Roman" w:hAnsi="Times New Roman" w:cs="Times New Roman"/>
      <w:sz w:val="24"/>
      <w:szCs w:val="24"/>
      <w:lang w:eastAsia="ja-JP"/>
    </w:rPr>
  </w:style>
  <w:style w:type="paragraph" w:styleId="Heading1">
    <w:name w:val="heading 1"/>
    <w:basedOn w:val="Normal"/>
    <w:next w:val="Normal"/>
    <w:link w:val="Heading1Char"/>
    <w:uiPriority w:val="9"/>
    <w:qFormat/>
    <w:rsid w:val="002A2BC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2A2BC4"/>
    <w:pPr>
      <w:tabs>
        <w:tab w:val="left" w:pos="794"/>
        <w:tab w:val="left" w:pos="1191"/>
        <w:tab w:val="left" w:pos="1588"/>
        <w:tab w:val="left" w:pos="1985"/>
      </w:tabs>
      <w:overflowPunct w:val="0"/>
      <w:autoSpaceDE w:val="0"/>
      <w:autoSpaceDN w:val="0"/>
      <w:adjustRightInd w:val="0"/>
      <w:ind w:left="794" w:hanging="794"/>
      <w:textAlignment w:val="baseline"/>
      <w:outlineLvl w:val="1"/>
    </w:pPr>
    <w:rPr>
      <w:rFonts w:ascii="Times New Roman" w:eastAsia="Times New Roman" w:hAnsi="Times New Roman" w:cs="Times New Roman"/>
      <w:b/>
      <w:color w:val="auto"/>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2BC4"/>
    <w:rPr>
      <w:rFonts w:ascii="Times New Roman" w:eastAsia="Times New Roman" w:hAnsi="Times New Roman" w:cs="Times New Roman"/>
      <w:b/>
      <w:sz w:val="24"/>
      <w:szCs w:val="20"/>
      <w:lang w:eastAsia="en-US"/>
    </w:rPr>
  </w:style>
  <w:style w:type="paragraph" w:customStyle="1" w:styleId="AnnexNotitle">
    <w:name w:val="Annex_No &amp; title"/>
    <w:basedOn w:val="Normal"/>
    <w:next w:val="Normal"/>
    <w:qFormat/>
    <w:rsid w:val="002A2BC4"/>
    <w:pPr>
      <w:keepNext/>
      <w:keepLines/>
      <w:tabs>
        <w:tab w:val="left" w:pos="794"/>
        <w:tab w:val="left" w:pos="1191"/>
        <w:tab w:val="left" w:pos="1588"/>
        <w:tab w:val="left" w:pos="1985"/>
      </w:tabs>
      <w:overflowPunct w:val="0"/>
      <w:autoSpaceDE w:val="0"/>
      <w:autoSpaceDN w:val="0"/>
      <w:adjustRightInd w:val="0"/>
      <w:spacing w:before="480"/>
      <w:jc w:val="center"/>
      <w:textAlignment w:val="baseline"/>
      <w:outlineLvl w:val="0"/>
    </w:pPr>
    <w:rPr>
      <w:rFonts w:eastAsia="Times New Roman"/>
      <w:b/>
      <w:sz w:val="28"/>
      <w:szCs w:val="20"/>
      <w:lang w:eastAsia="en-US"/>
    </w:rPr>
  </w:style>
  <w:style w:type="character" w:styleId="Hyperlink">
    <w:name w:val="Hyperlink"/>
    <w:basedOn w:val="DefaultParagraphFont"/>
    <w:rsid w:val="002A2BC4"/>
    <w:rPr>
      <w:rFonts w:asciiTheme="majorBidi" w:hAnsiTheme="majorBidi"/>
      <w:color w:val="0000FF"/>
      <w:u w:val="single"/>
    </w:rPr>
  </w:style>
  <w:style w:type="paragraph" w:customStyle="1" w:styleId="LSDeadline">
    <w:name w:val="LSDeadline"/>
    <w:basedOn w:val="Normal"/>
    <w:rsid w:val="002A2BC4"/>
    <w:pPr>
      <w:tabs>
        <w:tab w:val="left" w:pos="794"/>
        <w:tab w:val="left" w:pos="1191"/>
        <w:tab w:val="left" w:pos="1588"/>
        <w:tab w:val="left" w:pos="1985"/>
      </w:tabs>
      <w:overflowPunct w:val="0"/>
      <w:autoSpaceDE w:val="0"/>
      <w:autoSpaceDN w:val="0"/>
      <w:adjustRightInd w:val="0"/>
      <w:textAlignment w:val="baseline"/>
    </w:pPr>
    <w:rPr>
      <w:rFonts w:eastAsia="Times New Roman"/>
      <w:b/>
      <w:bCs/>
      <w:szCs w:val="20"/>
      <w:lang w:eastAsia="en-US"/>
    </w:rPr>
  </w:style>
  <w:style w:type="paragraph" w:customStyle="1" w:styleId="LSForAction">
    <w:name w:val="LSForAction"/>
    <w:basedOn w:val="Normal"/>
    <w:rsid w:val="002A2BC4"/>
    <w:pPr>
      <w:tabs>
        <w:tab w:val="left" w:pos="794"/>
        <w:tab w:val="left" w:pos="1191"/>
        <w:tab w:val="left" w:pos="1588"/>
        <w:tab w:val="left" w:pos="1985"/>
      </w:tabs>
      <w:overflowPunct w:val="0"/>
      <w:autoSpaceDE w:val="0"/>
      <w:autoSpaceDN w:val="0"/>
      <w:adjustRightInd w:val="0"/>
      <w:textAlignment w:val="baseline"/>
    </w:pPr>
    <w:rPr>
      <w:rFonts w:eastAsia="Times New Roman"/>
      <w:b/>
      <w:bCs/>
      <w:szCs w:val="20"/>
      <w:lang w:eastAsia="en-US"/>
    </w:rPr>
  </w:style>
  <w:style w:type="paragraph" w:customStyle="1" w:styleId="LSSource">
    <w:name w:val="LSSource"/>
    <w:basedOn w:val="Normal"/>
    <w:rsid w:val="002A2BC4"/>
    <w:pPr>
      <w:tabs>
        <w:tab w:val="left" w:pos="794"/>
        <w:tab w:val="left" w:pos="1191"/>
        <w:tab w:val="left" w:pos="1588"/>
        <w:tab w:val="left" w:pos="1985"/>
      </w:tabs>
      <w:overflowPunct w:val="0"/>
      <w:autoSpaceDE w:val="0"/>
      <w:autoSpaceDN w:val="0"/>
      <w:adjustRightInd w:val="0"/>
      <w:textAlignment w:val="baseline"/>
    </w:pPr>
    <w:rPr>
      <w:rFonts w:eastAsia="Times New Roman"/>
      <w:b/>
      <w:bCs/>
      <w:szCs w:val="20"/>
      <w:lang w:eastAsia="en-US"/>
    </w:rPr>
  </w:style>
  <w:style w:type="paragraph" w:customStyle="1" w:styleId="LSTitle">
    <w:name w:val="LSTitle"/>
    <w:basedOn w:val="Normal"/>
    <w:rsid w:val="002A2BC4"/>
    <w:pPr>
      <w:tabs>
        <w:tab w:val="left" w:pos="794"/>
        <w:tab w:val="left" w:pos="1191"/>
        <w:tab w:val="left" w:pos="1588"/>
        <w:tab w:val="left" w:pos="1985"/>
      </w:tabs>
      <w:overflowPunct w:val="0"/>
      <w:autoSpaceDE w:val="0"/>
      <w:autoSpaceDN w:val="0"/>
      <w:adjustRightInd w:val="0"/>
      <w:textAlignment w:val="baseline"/>
    </w:pPr>
    <w:rPr>
      <w:rFonts w:eastAsia="Times New Roman"/>
      <w:b/>
      <w:bCs/>
      <w:szCs w:val="20"/>
      <w:lang w:eastAsia="en-US"/>
    </w:rPr>
  </w:style>
  <w:style w:type="paragraph" w:customStyle="1" w:styleId="LSForInfo">
    <w:name w:val="LSForInfo"/>
    <w:basedOn w:val="LSForAction"/>
    <w:rsid w:val="002A2BC4"/>
  </w:style>
  <w:style w:type="paragraph" w:customStyle="1" w:styleId="LSForComment">
    <w:name w:val="LSForComment"/>
    <w:basedOn w:val="LSForAction"/>
    <w:rsid w:val="002A2BC4"/>
  </w:style>
  <w:style w:type="character" w:customStyle="1" w:styleId="Heading1Char">
    <w:name w:val="Heading 1 Char"/>
    <w:basedOn w:val="DefaultParagraphFont"/>
    <w:link w:val="Heading1"/>
    <w:uiPriority w:val="9"/>
    <w:rsid w:val="002A2BC4"/>
    <w:rPr>
      <w:rFonts w:asciiTheme="majorHAnsi" w:eastAsiaTheme="majorEastAsia" w:hAnsiTheme="majorHAnsi" w:cstheme="majorBidi"/>
      <w:color w:val="2E74B5" w:themeColor="accent1" w:themeShade="BF"/>
      <w:sz w:val="32"/>
      <w:szCs w:val="32"/>
      <w:lang w:eastAsia="ja-JP"/>
    </w:rPr>
  </w:style>
  <w:style w:type="paragraph" w:styleId="Header">
    <w:name w:val="header"/>
    <w:basedOn w:val="Normal"/>
    <w:link w:val="HeaderChar"/>
    <w:uiPriority w:val="99"/>
    <w:unhideWhenUsed/>
    <w:rsid w:val="008110B0"/>
    <w:pPr>
      <w:tabs>
        <w:tab w:val="center" w:pos="4513"/>
        <w:tab w:val="right" w:pos="9026"/>
      </w:tabs>
      <w:spacing w:before="0"/>
    </w:pPr>
  </w:style>
  <w:style w:type="character" w:customStyle="1" w:styleId="HeaderChar">
    <w:name w:val="Header Char"/>
    <w:basedOn w:val="DefaultParagraphFont"/>
    <w:link w:val="Header"/>
    <w:uiPriority w:val="99"/>
    <w:rsid w:val="008110B0"/>
    <w:rPr>
      <w:rFonts w:ascii="Times New Roman" w:hAnsi="Times New Roman" w:cs="Times New Roman"/>
      <w:sz w:val="24"/>
      <w:szCs w:val="24"/>
      <w:lang w:eastAsia="ja-JP"/>
    </w:rPr>
  </w:style>
  <w:style w:type="paragraph" w:styleId="Footer">
    <w:name w:val="footer"/>
    <w:basedOn w:val="Normal"/>
    <w:link w:val="FooterChar"/>
    <w:uiPriority w:val="99"/>
    <w:unhideWhenUsed/>
    <w:rsid w:val="008110B0"/>
    <w:pPr>
      <w:tabs>
        <w:tab w:val="center" w:pos="4513"/>
        <w:tab w:val="right" w:pos="9026"/>
      </w:tabs>
      <w:spacing w:before="0"/>
    </w:pPr>
  </w:style>
  <w:style w:type="character" w:customStyle="1" w:styleId="FooterChar">
    <w:name w:val="Footer Char"/>
    <w:basedOn w:val="DefaultParagraphFont"/>
    <w:link w:val="Footer"/>
    <w:uiPriority w:val="99"/>
    <w:rsid w:val="008110B0"/>
    <w:rPr>
      <w:rFonts w:ascii="Times New Roman" w:hAnsi="Times New Roman" w:cs="Times New Roman"/>
      <w:sz w:val="24"/>
      <w:szCs w:val="24"/>
      <w:lang w:eastAsia="ja-JP"/>
    </w:rPr>
  </w:style>
  <w:style w:type="paragraph" w:customStyle="1" w:styleId="Docnumber">
    <w:name w:val="Docnumber"/>
    <w:basedOn w:val="Normal"/>
    <w:link w:val="DocnumberChar"/>
    <w:qFormat/>
    <w:rsid w:val="008110B0"/>
    <w:pPr>
      <w:tabs>
        <w:tab w:val="left" w:pos="794"/>
        <w:tab w:val="left" w:pos="1191"/>
        <w:tab w:val="left" w:pos="1588"/>
        <w:tab w:val="left" w:pos="1985"/>
      </w:tabs>
      <w:overflowPunct w:val="0"/>
      <w:autoSpaceDE w:val="0"/>
      <w:autoSpaceDN w:val="0"/>
      <w:adjustRightInd w:val="0"/>
      <w:jc w:val="right"/>
      <w:textAlignment w:val="baseline"/>
    </w:pPr>
    <w:rPr>
      <w:rFonts w:eastAsia="Times New Roman"/>
      <w:b/>
      <w:bCs/>
      <w:sz w:val="40"/>
      <w:szCs w:val="20"/>
      <w:lang w:eastAsia="en-US"/>
    </w:rPr>
  </w:style>
  <w:style w:type="character" w:customStyle="1" w:styleId="DocnumberChar">
    <w:name w:val="Docnumber Char"/>
    <w:basedOn w:val="DefaultParagraphFont"/>
    <w:link w:val="Docnumber"/>
    <w:rsid w:val="008110B0"/>
    <w:rPr>
      <w:rFonts w:ascii="Times New Roman" w:eastAsia="Times New Roman" w:hAnsi="Times New Roman" w:cs="Times New Roman"/>
      <w:b/>
      <w:bCs/>
      <w:sz w:val="4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ITU-T/recommendations/index_sg.aspx?sg=15"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033526898E44F9B993BD23E2192E74C"/>
        <w:category>
          <w:name w:val="General"/>
          <w:gallery w:val="placeholder"/>
        </w:category>
        <w:types>
          <w:type w:val="bbPlcHdr"/>
        </w:types>
        <w:behaviors>
          <w:behavior w:val="content"/>
        </w:behaviors>
        <w:guid w:val="{2A902DBB-C6D3-4FB0-B471-F94BA269CE5C}"/>
      </w:docPartPr>
      <w:docPartBody>
        <w:p w:rsidR="00413894" w:rsidRDefault="005979B2" w:rsidP="005979B2">
          <w:pPr>
            <w:pStyle w:val="C033526898E44F9B993BD23E2192E74C"/>
          </w:pPr>
          <w:r w:rsidRPr="001229A4">
            <w:rPr>
              <w:rStyle w:val="PlaceholderText"/>
            </w:rPr>
            <w:t>Click here to enter text.</w:t>
          </w:r>
        </w:p>
      </w:docPartBody>
    </w:docPart>
    <w:docPart>
      <w:docPartPr>
        <w:name w:val="E1D771B8F75347A7B9C83969B606AC6C"/>
        <w:category>
          <w:name w:val="General"/>
          <w:gallery w:val="placeholder"/>
        </w:category>
        <w:types>
          <w:type w:val="bbPlcHdr"/>
        </w:types>
        <w:behaviors>
          <w:behavior w:val="content"/>
        </w:behaviors>
        <w:guid w:val="{202C1D32-1C84-4447-879C-AB8DF2C46F21}"/>
      </w:docPartPr>
      <w:docPartBody>
        <w:p w:rsidR="00413894" w:rsidRDefault="005979B2" w:rsidP="005979B2">
          <w:pPr>
            <w:pStyle w:val="E1D771B8F75347A7B9C83969B606AC6C"/>
          </w:pPr>
          <w:r w:rsidRPr="001229A4">
            <w:rPr>
              <w:rStyle w:val="PlaceholderText"/>
            </w:rPr>
            <w:t>Click here to enter text.</w:t>
          </w:r>
        </w:p>
      </w:docPartBody>
    </w:docPart>
    <w:docPart>
      <w:docPartPr>
        <w:name w:val="FB6E2F8C936D42D6B5A8377B555BD616"/>
        <w:category>
          <w:name w:val="General"/>
          <w:gallery w:val="placeholder"/>
        </w:category>
        <w:types>
          <w:type w:val="bbPlcHdr"/>
        </w:types>
        <w:behaviors>
          <w:behavior w:val="content"/>
        </w:behaviors>
        <w:guid w:val="{6DD6C672-B914-479D-AAC4-17ECEEBF7469}"/>
      </w:docPartPr>
      <w:docPartBody>
        <w:p w:rsidR="00413894" w:rsidRDefault="005979B2" w:rsidP="005979B2">
          <w:pPr>
            <w:pStyle w:val="FB6E2F8C936D42D6B5A8377B555BD616"/>
          </w:pPr>
          <w:r w:rsidRPr="001229A4">
            <w:rPr>
              <w:rStyle w:val="PlaceholderText"/>
            </w:rPr>
            <w:t>Click here to enter text.</w:t>
          </w:r>
        </w:p>
      </w:docPartBody>
    </w:docPart>
    <w:docPart>
      <w:docPartPr>
        <w:name w:val="6B5464C6A1FB46589EFF8A8BB29AC9F7"/>
        <w:category>
          <w:name w:val="General"/>
          <w:gallery w:val="placeholder"/>
        </w:category>
        <w:types>
          <w:type w:val="bbPlcHdr"/>
        </w:types>
        <w:behaviors>
          <w:behavior w:val="content"/>
        </w:behaviors>
        <w:guid w:val="{730FD43F-F8E3-45DA-A272-60CECDEF86F9}"/>
      </w:docPartPr>
      <w:docPartBody>
        <w:p w:rsidR="00413894" w:rsidRDefault="005979B2" w:rsidP="005979B2">
          <w:pPr>
            <w:pStyle w:val="6B5464C6A1FB46589EFF8A8BB29AC9F7"/>
          </w:pPr>
          <w:r w:rsidRPr="001229A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9B2"/>
    <w:rsid w:val="00413894"/>
    <w:rsid w:val="005979B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79B2"/>
    <w:rPr>
      <w:rFonts w:ascii="Times New Roman" w:hAnsi="Times New Roman"/>
      <w:color w:val="808080"/>
    </w:rPr>
  </w:style>
  <w:style w:type="paragraph" w:customStyle="1" w:styleId="6D0CCB1B0F9D4BCF93E3E863F1586768">
    <w:name w:val="6D0CCB1B0F9D4BCF93E3E863F1586768"/>
    <w:rsid w:val="005979B2"/>
  </w:style>
  <w:style w:type="paragraph" w:customStyle="1" w:styleId="331F8C2D16D74033BAE1464690FE25CD">
    <w:name w:val="331F8C2D16D74033BAE1464690FE25CD"/>
    <w:rsid w:val="005979B2"/>
  </w:style>
  <w:style w:type="paragraph" w:customStyle="1" w:styleId="374C9FA6324343A699E3DEF855783FE3">
    <w:name w:val="374C9FA6324343A699E3DEF855783FE3"/>
    <w:rsid w:val="005979B2"/>
  </w:style>
  <w:style w:type="paragraph" w:customStyle="1" w:styleId="C033526898E44F9B993BD23E2192E74C">
    <w:name w:val="C033526898E44F9B993BD23E2192E74C"/>
    <w:rsid w:val="005979B2"/>
  </w:style>
  <w:style w:type="paragraph" w:customStyle="1" w:styleId="E1D771B8F75347A7B9C83969B606AC6C">
    <w:name w:val="E1D771B8F75347A7B9C83969B606AC6C"/>
    <w:rsid w:val="005979B2"/>
  </w:style>
  <w:style w:type="paragraph" w:customStyle="1" w:styleId="FB6E2F8C936D42D6B5A8377B555BD616">
    <w:name w:val="FB6E2F8C936D42D6B5A8377B555BD616"/>
    <w:rsid w:val="005979B2"/>
  </w:style>
  <w:style w:type="paragraph" w:customStyle="1" w:styleId="6B5464C6A1FB46589EFF8A8BB29AC9F7">
    <w:name w:val="6B5464C6A1FB46589EFF8A8BB29AC9F7"/>
    <w:rsid w:val="005979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ITU-T</Manager>
  <Company>International Telecommunication Union (ITU)</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on ITU-T Recommendations dealing with full timing support</dc:title>
  <dc:subject/>
  <dc:creator>ITU-T SG15</dc:creator>
  <cp:keywords/>
  <dc:description>SG15-LS51  For: Geneva, 19-30 June 2017_x000d_Document date: _x000d_Saved by ITU51010564 at 15:09:46 on 04/07/2017</dc:description>
  <cp:lastModifiedBy>OTA, Hiroshi </cp:lastModifiedBy>
  <cp:revision>8</cp:revision>
  <dcterms:created xsi:type="dcterms:W3CDTF">2017-07-04T08:48:00Z</dcterms:created>
  <dcterms:modified xsi:type="dcterms:W3CDTF">2017-07-05T11:43:00Z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SG15-LS51</vt:lpwstr>
  </property>
  <property fmtid="{D5CDD505-2E9C-101B-9397-08002B2CF9AE}" pid="3" name="Docdate">
    <vt:lpwstr/>
  </property>
  <property fmtid="{D5CDD505-2E9C-101B-9397-08002B2CF9AE}" pid="4" name="Docorlang">
    <vt:lpwstr/>
  </property>
  <property fmtid="{D5CDD505-2E9C-101B-9397-08002B2CF9AE}" pid="5" name="Docbluepink">
    <vt:lpwstr>13</vt:lpwstr>
  </property>
  <property fmtid="{D5CDD505-2E9C-101B-9397-08002B2CF9AE}" pid="6" name="Docdest">
    <vt:lpwstr>Geneva, 19-30 June 2017</vt:lpwstr>
  </property>
  <property fmtid="{D5CDD505-2E9C-101B-9397-08002B2CF9AE}" pid="7" name="Docauthor">
    <vt:lpwstr>ITU-T SG15</vt:lpwstr>
  </property>
</Properties>
</file>