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230C5" w14:textId="77777777" w:rsidR="00DC308C" w:rsidRDefault="00DC308C">
      <w:pPr>
        <w:pStyle w:val="BodyText"/>
        <w:spacing w:before="7"/>
        <w:rPr>
          <w:sz w:val="9"/>
        </w:rPr>
      </w:pPr>
    </w:p>
    <w:p w14:paraId="16D230C6" w14:textId="77777777" w:rsidR="00DC308C" w:rsidRDefault="00980132">
      <w:pPr>
        <w:pStyle w:val="Title"/>
        <w:spacing w:line="412" w:lineRule="auto"/>
      </w:pPr>
      <w:r>
        <w:t>IEEE 802 LAN/MAN STANDARDS COMMITTEE (LMSC) CRITERIA FOR STANDARDS DEVELOPMENT (CSD)</w:t>
      </w:r>
    </w:p>
    <w:p w14:paraId="16D230C7" w14:textId="77777777" w:rsidR="00DC308C" w:rsidRDefault="00980132">
      <w:pPr>
        <w:pStyle w:val="BodyText"/>
        <w:spacing w:before="40"/>
        <w:ind w:left="1286" w:right="1265"/>
        <w:jc w:val="center"/>
      </w:pPr>
      <w:r>
        <w:t>Based on IEEE 802 LMSC Operations Manuals approved 4 August 2020 Last edited 31 August 2020</w:t>
      </w:r>
    </w:p>
    <w:p w14:paraId="16D230C8" w14:textId="77777777" w:rsidR="00DC308C" w:rsidRDefault="00DC308C">
      <w:pPr>
        <w:pStyle w:val="BodyText"/>
      </w:pPr>
    </w:p>
    <w:p w14:paraId="16D230C9" w14:textId="4E694FD3" w:rsidR="00DC308C" w:rsidRDefault="00980132" w:rsidP="007E573F">
      <w:pPr>
        <w:pStyle w:val="BodyText"/>
        <w:spacing w:line="252" w:lineRule="auto"/>
        <w:ind w:left="339" w:right="1409"/>
      </w:pPr>
      <w:r>
        <w:rPr>
          <w:b/>
          <w:color w:val="006FC0"/>
        </w:rPr>
        <w:t>P802.</w:t>
      </w:r>
      <w:r w:rsidR="007E573F">
        <w:rPr>
          <w:b/>
          <w:color w:val="006FC0"/>
        </w:rPr>
        <w:t>1Q</w:t>
      </w:r>
      <w:r w:rsidR="00836423">
        <w:rPr>
          <w:rFonts w:asciiTheme="minorEastAsia" w:eastAsiaTheme="minorEastAsia" w:hAnsiTheme="minorEastAsia"/>
          <w:b/>
          <w:color w:val="006FC0"/>
          <w:lang w:eastAsia="zh-CN"/>
        </w:rPr>
        <w:t>d</w:t>
      </w:r>
      <w:r w:rsidR="00B811D2">
        <w:rPr>
          <w:rFonts w:asciiTheme="minorEastAsia" w:eastAsiaTheme="minorEastAsia" w:hAnsiTheme="minorEastAsia"/>
          <w:b/>
          <w:color w:val="006FC0"/>
          <w:lang w:eastAsia="zh-CN"/>
        </w:rPr>
        <w:t>w</w:t>
      </w:r>
      <w:r w:rsidR="001C274C">
        <w:rPr>
          <w:rFonts w:asciiTheme="minorEastAsia" w:eastAsiaTheme="minorEastAsia" w:hAnsiTheme="minorEastAsia"/>
          <w:b/>
          <w:color w:val="006FC0"/>
          <w:lang w:eastAsia="zh-CN"/>
        </w:rPr>
        <w:t xml:space="preserve"> </w:t>
      </w:r>
      <w:r w:rsidR="007E573F" w:rsidRPr="007E573F">
        <w:rPr>
          <w:color w:val="006FC0"/>
        </w:rPr>
        <w:t xml:space="preserve">Standard for Local and </w:t>
      </w:r>
      <w:r w:rsidR="00836423">
        <w:rPr>
          <w:color w:val="006FC0"/>
        </w:rPr>
        <w:t>M</w:t>
      </w:r>
      <w:r w:rsidR="007E573F" w:rsidRPr="007E573F">
        <w:rPr>
          <w:color w:val="006FC0"/>
        </w:rPr>
        <w:t xml:space="preserve">etropolitan </w:t>
      </w:r>
      <w:r w:rsidR="00836423">
        <w:rPr>
          <w:color w:val="006FC0"/>
        </w:rPr>
        <w:t>A</w:t>
      </w:r>
      <w:r w:rsidR="007E573F" w:rsidRPr="007E573F">
        <w:rPr>
          <w:color w:val="006FC0"/>
        </w:rPr>
        <w:t xml:space="preserve">rea </w:t>
      </w:r>
      <w:r w:rsidR="00836423">
        <w:rPr>
          <w:color w:val="006FC0"/>
        </w:rPr>
        <w:t>N</w:t>
      </w:r>
      <w:r w:rsidR="007E573F" w:rsidRPr="007E573F">
        <w:rPr>
          <w:color w:val="006FC0"/>
        </w:rPr>
        <w:t>etworks--Bridges and Bridged Networks</w:t>
      </w:r>
      <w:r w:rsidR="007E573F">
        <w:rPr>
          <w:color w:val="006FC0"/>
        </w:rPr>
        <w:t xml:space="preserve"> </w:t>
      </w:r>
      <w:r w:rsidR="007E573F" w:rsidRPr="007E573F">
        <w:rPr>
          <w:color w:val="006FC0"/>
        </w:rPr>
        <w:t xml:space="preserve">Amendment </w:t>
      </w:r>
      <w:r w:rsidR="00B811D2">
        <w:rPr>
          <w:color w:val="006FC0"/>
        </w:rPr>
        <w:t>Source</w:t>
      </w:r>
      <w:r w:rsidR="007E573F" w:rsidRPr="007E573F">
        <w:rPr>
          <w:color w:val="006FC0"/>
        </w:rPr>
        <w:t xml:space="preserve"> Flow Control</w:t>
      </w:r>
    </w:p>
    <w:p w14:paraId="16D230CA" w14:textId="77777777" w:rsidR="00DC308C" w:rsidRDefault="00DC308C">
      <w:pPr>
        <w:pStyle w:val="BodyText"/>
        <w:spacing w:before="8"/>
        <w:rPr>
          <w:sz w:val="31"/>
        </w:rPr>
      </w:pPr>
    </w:p>
    <w:p w14:paraId="16D230CB" w14:textId="77777777" w:rsidR="00DC308C" w:rsidRDefault="00980132">
      <w:pPr>
        <w:pStyle w:val="ListParagraph"/>
        <w:numPr>
          <w:ilvl w:val="0"/>
          <w:numId w:val="2"/>
        </w:numPr>
        <w:tabs>
          <w:tab w:val="left" w:pos="431"/>
        </w:tabs>
        <w:rPr>
          <w:rFonts w:ascii="Arial"/>
          <w:b/>
          <w:sz w:val="28"/>
        </w:rPr>
      </w:pPr>
      <w:bookmarkStart w:id="0" w:name="1._IEEE_802_criteria_for_standards_devel"/>
      <w:bookmarkEnd w:id="0"/>
      <w:r>
        <w:rPr>
          <w:rFonts w:ascii="Arial"/>
          <w:b/>
          <w:sz w:val="28"/>
        </w:rPr>
        <w:t>IEEE 802 criteria for standards development</w:t>
      </w:r>
      <w:r>
        <w:rPr>
          <w:rFonts w:ascii="Arial"/>
          <w:b/>
          <w:spacing w:val="-5"/>
          <w:sz w:val="28"/>
        </w:rPr>
        <w:t xml:space="preserve"> </w:t>
      </w:r>
      <w:r>
        <w:rPr>
          <w:rFonts w:ascii="Arial"/>
          <w:b/>
          <w:sz w:val="28"/>
        </w:rPr>
        <w:t>(CSD)</w:t>
      </w:r>
    </w:p>
    <w:p w14:paraId="16D230CC" w14:textId="77777777" w:rsidR="00DC308C" w:rsidRDefault="00980132">
      <w:pPr>
        <w:pStyle w:val="BodyText"/>
        <w:spacing w:before="115"/>
        <w:ind w:left="120" w:right="211"/>
        <w:jc w:val="both"/>
      </w:pPr>
      <w:r>
        <w:t xml:space="preserve">The CSD documents an agreement between the WG and the Sponsor that provides a description of the project and the Sponsor's requirements more detailed than required in the PAR. The CSD consists of the project process requirements, </w:t>
      </w:r>
      <w:hyperlink w:anchor="_bookmark0" w:history="1">
        <w:r>
          <w:t>1.1</w:t>
        </w:r>
      </w:hyperlink>
      <w:r>
        <w:t xml:space="preserve">, and the 5C requirements, </w:t>
      </w:r>
      <w:hyperlink w:anchor="_bookmark1" w:history="1">
        <w:r>
          <w:t>1.2</w:t>
        </w:r>
      </w:hyperlink>
      <w:r>
        <w:t>.</w:t>
      </w:r>
    </w:p>
    <w:p w14:paraId="16D230CD" w14:textId="77777777" w:rsidR="00DC308C" w:rsidRDefault="00DC308C">
      <w:pPr>
        <w:pStyle w:val="BodyText"/>
        <w:spacing w:before="9"/>
        <w:rPr>
          <w:sz w:val="31"/>
        </w:rPr>
      </w:pPr>
    </w:p>
    <w:p w14:paraId="16D230CE" w14:textId="77777777" w:rsidR="00DC308C" w:rsidRDefault="00980132">
      <w:pPr>
        <w:pStyle w:val="Heading1"/>
        <w:numPr>
          <w:ilvl w:val="1"/>
          <w:numId w:val="2"/>
        </w:numPr>
        <w:tabs>
          <w:tab w:val="left" w:pos="521"/>
        </w:tabs>
      </w:pPr>
      <w:bookmarkStart w:id="1" w:name="1.1_Project_process_requirements"/>
      <w:bookmarkStart w:id="2" w:name="_bookmark0"/>
      <w:bookmarkEnd w:id="1"/>
      <w:bookmarkEnd w:id="2"/>
      <w:r>
        <w:t>Project process</w:t>
      </w:r>
      <w:r>
        <w:rPr>
          <w:spacing w:val="-1"/>
        </w:rPr>
        <w:t xml:space="preserve"> </w:t>
      </w:r>
      <w:r>
        <w:t>requirements</w:t>
      </w:r>
    </w:p>
    <w:p w14:paraId="16D230CF" w14:textId="77777777" w:rsidR="00DC308C" w:rsidRDefault="00DC308C">
      <w:pPr>
        <w:pStyle w:val="BodyText"/>
        <w:spacing w:before="3"/>
        <w:rPr>
          <w:rFonts w:ascii="Arial"/>
          <w:b/>
          <w:sz w:val="31"/>
        </w:rPr>
      </w:pPr>
    </w:p>
    <w:p w14:paraId="16D230D0" w14:textId="77777777" w:rsidR="00DC308C" w:rsidRDefault="00980132">
      <w:pPr>
        <w:pStyle w:val="ListParagraph"/>
        <w:numPr>
          <w:ilvl w:val="2"/>
          <w:numId w:val="2"/>
        </w:numPr>
        <w:tabs>
          <w:tab w:val="left" w:pos="720"/>
        </w:tabs>
        <w:rPr>
          <w:rFonts w:ascii="Arial"/>
          <w:sz w:val="24"/>
        </w:rPr>
      </w:pPr>
      <w:bookmarkStart w:id="3" w:name="1.1.1_Managed_objects"/>
      <w:bookmarkEnd w:id="3"/>
      <w:r>
        <w:rPr>
          <w:rFonts w:ascii="Arial"/>
          <w:sz w:val="24"/>
        </w:rPr>
        <w:t>Managed</w:t>
      </w:r>
      <w:r>
        <w:rPr>
          <w:rFonts w:ascii="Arial"/>
          <w:spacing w:val="-1"/>
          <w:sz w:val="24"/>
        </w:rPr>
        <w:t xml:space="preserve"> </w:t>
      </w:r>
      <w:r>
        <w:rPr>
          <w:rFonts w:ascii="Arial"/>
          <w:sz w:val="24"/>
        </w:rPr>
        <w:t>objects</w:t>
      </w:r>
    </w:p>
    <w:p w14:paraId="16D230D1" w14:textId="77777777" w:rsidR="00DC308C" w:rsidRDefault="00980132">
      <w:pPr>
        <w:pStyle w:val="BodyText"/>
        <w:spacing w:before="116"/>
        <w:ind w:left="120" w:right="277"/>
      </w:pPr>
      <w:r>
        <w:t>Describe the plan for developing a definition of managed objects. The plan shall specify one of the following:</w:t>
      </w:r>
    </w:p>
    <w:p w14:paraId="16D230D2" w14:textId="77777777" w:rsidR="00DC308C" w:rsidRDefault="00980132">
      <w:pPr>
        <w:pStyle w:val="ListParagraph"/>
        <w:numPr>
          <w:ilvl w:val="3"/>
          <w:numId w:val="2"/>
        </w:numPr>
        <w:tabs>
          <w:tab w:val="left" w:pos="840"/>
        </w:tabs>
        <w:spacing w:before="120"/>
        <w:rPr>
          <w:sz w:val="24"/>
        </w:rPr>
      </w:pPr>
      <w:r>
        <w:rPr>
          <w:sz w:val="24"/>
        </w:rPr>
        <w:t>The definitions will be part of this</w:t>
      </w:r>
      <w:r>
        <w:rPr>
          <w:spacing w:val="-3"/>
          <w:sz w:val="24"/>
        </w:rPr>
        <w:t xml:space="preserve"> </w:t>
      </w:r>
      <w:r>
        <w:rPr>
          <w:sz w:val="24"/>
        </w:rPr>
        <w:t>project.</w:t>
      </w:r>
    </w:p>
    <w:p w14:paraId="16D230D3" w14:textId="77777777" w:rsidR="00DC308C" w:rsidRDefault="00980132">
      <w:pPr>
        <w:pStyle w:val="ListParagraph"/>
        <w:numPr>
          <w:ilvl w:val="3"/>
          <w:numId w:val="2"/>
        </w:numPr>
        <w:tabs>
          <w:tab w:val="left" w:pos="840"/>
        </w:tabs>
        <w:ind w:left="839" w:right="253"/>
        <w:rPr>
          <w:sz w:val="24"/>
        </w:rPr>
      </w:pPr>
      <w:r>
        <w:rPr>
          <w:sz w:val="24"/>
        </w:rPr>
        <w:t>The definitions will be part of a different project and provide the plan for that project or anticipated future</w:t>
      </w:r>
      <w:r>
        <w:rPr>
          <w:spacing w:val="-1"/>
          <w:sz w:val="24"/>
        </w:rPr>
        <w:t xml:space="preserve"> </w:t>
      </w:r>
      <w:r>
        <w:rPr>
          <w:sz w:val="24"/>
        </w:rPr>
        <w:t>project.</w:t>
      </w:r>
    </w:p>
    <w:p w14:paraId="16D230D4" w14:textId="77777777" w:rsidR="00DC308C" w:rsidRDefault="00980132">
      <w:pPr>
        <w:pStyle w:val="ListParagraph"/>
        <w:numPr>
          <w:ilvl w:val="3"/>
          <w:numId w:val="2"/>
        </w:numPr>
        <w:tabs>
          <w:tab w:val="left" w:pos="840"/>
        </w:tabs>
        <w:ind w:hanging="361"/>
        <w:rPr>
          <w:sz w:val="24"/>
        </w:rPr>
      </w:pPr>
      <w:r>
        <w:rPr>
          <w:sz w:val="24"/>
        </w:rPr>
        <w:t>The definitions will not be developed and explain why such definitions are not</w:t>
      </w:r>
      <w:r>
        <w:rPr>
          <w:spacing w:val="-13"/>
          <w:sz w:val="24"/>
        </w:rPr>
        <w:t xml:space="preserve"> </w:t>
      </w:r>
      <w:r>
        <w:rPr>
          <w:sz w:val="24"/>
        </w:rPr>
        <w:t>needed.</w:t>
      </w:r>
    </w:p>
    <w:p w14:paraId="16D230D5" w14:textId="77777777" w:rsidR="00DC308C" w:rsidRDefault="00DC308C">
      <w:pPr>
        <w:pStyle w:val="BodyText"/>
      </w:pPr>
    </w:p>
    <w:p w14:paraId="16D230D6" w14:textId="5260AACF" w:rsidR="00DC308C" w:rsidRDefault="00980132">
      <w:pPr>
        <w:pStyle w:val="BodyText"/>
        <w:spacing w:line="252" w:lineRule="auto"/>
        <w:ind w:left="585" w:right="277"/>
      </w:pPr>
      <w:r>
        <w:rPr>
          <w:color w:val="006FC0"/>
        </w:rPr>
        <w:t xml:space="preserve">Item </w:t>
      </w:r>
      <w:r w:rsidR="007E573F">
        <w:rPr>
          <w:color w:val="006FC0"/>
        </w:rPr>
        <w:t>a</w:t>
      </w:r>
      <w:r>
        <w:rPr>
          <w:color w:val="006FC0"/>
        </w:rPr>
        <w:t>) is applicable to this project.</w:t>
      </w:r>
      <w:r w:rsidR="007E573F">
        <w:rPr>
          <w:color w:val="006FC0"/>
        </w:rPr>
        <w:t xml:space="preserve"> </w:t>
      </w:r>
      <w:r w:rsidR="007E573F" w:rsidRPr="007E573F">
        <w:rPr>
          <w:color w:val="006FC0"/>
        </w:rPr>
        <w:t>This project will develop necessary managed objects described by a YANG model.</w:t>
      </w:r>
      <w:r w:rsidR="00836423">
        <w:rPr>
          <w:color w:val="006FC0"/>
        </w:rPr>
        <w:t xml:space="preserve"> </w:t>
      </w:r>
      <w:r w:rsidR="007E573F">
        <w:rPr>
          <w:color w:val="006FC0"/>
        </w:rPr>
        <w:t xml:space="preserve"> </w:t>
      </w:r>
    </w:p>
    <w:p w14:paraId="16D230D7" w14:textId="77777777" w:rsidR="00DC308C" w:rsidRDefault="00DC308C">
      <w:pPr>
        <w:pStyle w:val="BodyText"/>
        <w:rPr>
          <w:sz w:val="26"/>
        </w:rPr>
      </w:pPr>
    </w:p>
    <w:p w14:paraId="16D230D8" w14:textId="77777777" w:rsidR="00DC308C" w:rsidRDefault="00DC308C">
      <w:pPr>
        <w:pStyle w:val="BodyText"/>
        <w:rPr>
          <w:sz w:val="26"/>
        </w:rPr>
      </w:pPr>
    </w:p>
    <w:p w14:paraId="16D230D9" w14:textId="77777777" w:rsidR="00DC308C" w:rsidRDefault="00980132">
      <w:pPr>
        <w:pStyle w:val="ListParagraph"/>
        <w:numPr>
          <w:ilvl w:val="2"/>
          <w:numId w:val="2"/>
        </w:numPr>
        <w:tabs>
          <w:tab w:val="left" w:pos="720"/>
        </w:tabs>
        <w:spacing w:before="177"/>
        <w:ind w:hanging="601"/>
        <w:rPr>
          <w:rFonts w:ascii="Arial"/>
          <w:sz w:val="24"/>
        </w:rPr>
      </w:pPr>
      <w:bookmarkStart w:id="4" w:name="1.1.2_Coexistence"/>
      <w:bookmarkEnd w:id="4"/>
      <w:r>
        <w:rPr>
          <w:rFonts w:ascii="Arial"/>
          <w:sz w:val="24"/>
        </w:rPr>
        <w:t>Coexistence</w:t>
      </w:r>
    </w:p>
    <w:p w14:paraId="16D230DA" w14:textId="77777777" w:rsidR="00DC308C" w:rsidRDefault="00980132">
      <w:pPr>
        <w:pStyle w:val="BodyText"/>
        <w:spacing w:before="115"/>
        <w:ind w:left="119" w:right="277"/>
      </w:pPr>
      <w:r>
        <w:t>A WG proposing a wireless project shall prepare a Coexistence Assessment (CA) document unless it is not applicable.</w:t>
      </w:r>
    </w:p>
    <w:p w14:paraId="16D230DB" w14:textId="77777777" w:rsidR="00DC308C" w:rsidRDefault="00980132" w:rsidP="001C274C">
      <w:pPr>
        <w:pStyle w:val="ListParagraph"/>
        <w:numPr>
          <w:ilvl w:val="0"/>
          <w:numId w:val="3"/>
        </w:numPr>
        <w:tabs>
          <w:tab w:val="left" w:pos="840"/>
        </w:tabs>
        <w:spacing w:before="120"/>
        <w:ind w:right="353"/>
        <w:rPr>
          <w:sz w:val="24"/>
        </w:rPr>
      </w:pPr>
      <w:r>
        <w:rPr>
          <w:sz w:val="24"/>
        </w:rPr>
        <w:t>Will the WG create a CA document as part of the WG balloting process as described in Clause 13?</w:t>
      </w:r>
      <w:r>
        <w:rPr>
          <w:spacing w:val="-1"/>
          <w:sz w:val="24"/>
        </w:rPr>
        <w:t xml:space="preserve"> </w:t>
      </w:r>
      <w:r>
        <w:rPr>
          <w:sz w:val="24"/>
        </w:rPr>
        <w:t>(yes/no)</w:t>
      </w:r>
    </w:p>
    <w:p w14:paraId="16D230DC" w14:textId="77777777" w:rsidR="00DC308C" w:rsidRDefault="00980132" w:rsidP="001C274C">
      <w:pPr>
        <w:pStyle w:val="ListParagraph"/>
        <w:numPr>
          <w:ilvl w:val="0"/>
          <w:numId w:val="3"/>
        </w:numPr>
        <w:tabs>
          <w:tab w:val="left" w:pos="840"/>
        </w:tabs>
        <w:ind w:hanging="361"/>
        <w:rPr>
          <w:sz w:val="24"/>
        </w:rPr>
      </w:pPr>
      <w:r>
        <w:rPr>
          <w:sz w:val="24"/>
        </w:rPr>
        <w:t>If not, explain why the CA document is not</w:t>
      </w:r>
      <w:r>
        <w:rPr>
          <w:spacing w:val="-5"/>
          <w:sz w:val="24"/>
        </w:rPr>
        <w:t xml:space="preserve"> </w:t>
      </w:r>
      <w:r>
        <w:rPr>
          <w:sz w:val="24"/>
        </w:rPr>
        <w:t>applicable.</w:t>
      </w:r>
    </w:p>
    <w:p w14:paraId="16D230DD" w14:textId="77777777" w:rsidR="00DC308C" w:rsidRDefault="00DC308C">
      <w:pPr>
        <w:pStyle w:val="BodyText"/>
      </w:pPr>
    </w:p>
    <w:p w14:paraId="16D230DE" w14:textId="0CE65E24" w:rsidR="00DC308C" w:rsidRPr="001C274C" w:rsidRDefault="00BE47BA" w:rsidP="001C274C">
      <w:pPr>
        <w:tabs>
          <w:tab w:val="left" w:pos="946"/>
        </w:tabs>
        <w:ind w:left="420"/>
        <w:rPr>
          <w:color w:val="006FC0"/>
          <w:sz w:val="24"/>
        </w:rPr>
      </w:pPr>
      <w:r>
        <w:rPr>
          <w:color w:val="006FC0"/>
        </w:rPr>
        <w:t xml:space="preserve">NA. </w:t>
      </w:r>
      <w:r w:rsidR="00980132" w:rsidRPr="001C274C">
        <w:rPr>
          <w:color w:val="006FC0"/>
        </w:rPr>
        <w:t>This project is not a wireless project; therefore, the CA document is not</w:t>
      </w:r>
      <w:r w:rsidR="00980132" w:rsidRPr="001C274C">
        <w:rPr>
          <w:color w:val="006FC0"/>
          <w:spacing w:val="-18"/>
        </w:rPr>
        <w:t xml:space="preserve"> </w:t>
      </w:r>
      <w:r w:rsidR="00980132" w:rsidRPr="001C274C">
        <w:rPr>
          <w:color w:val="006FC0"/>
        </w:rPr>
        <w:t>applicable.</w:t>
      </w:r>
    </w:p>
    <w:p w14:paraId="16D230DF" w14:textId="77777777" w:rsidR="00DC308C" w:rsidRDefault="00DC308C">
      <w:pPr>
        <w:rPr>
          <w:sz w:val="24"/>
        </w:rPr>
        <w:sectPr w:rsidR="00DC308C">
          <w:type w:val="continuous"/>
          <w:pgSz w:w="12240" w:h="15840"/>
          <w:pgMar w:top="1500" w:right="1340" w:bottom="280" w:left="1320" w:header="720" w:footer="720" w:gutter="0"/>
          <w:cols w:space="720"/>
        </w:sectPr>
      </w:pPr>
    </w:p>
    <w:p w14:paraId="16D230E0" w14:textId="77777777" w:rsidR="00DC308C" w:rsidRDefault="00980132">
      <w:pPr>
        <w:pStyle w:val="Heading1"/>
        <w:numPr>
          <w:ilvl w:val="1"/>
          <w:numId w:val="2"/>
        </w:numPr>
        <w:tabs>
          <w:tab w:val="left" w:pos="521"/>
        </w:tabs>
        <w:spacing w:before="76"/>
      </w:pPr>
      <w:bookmarkStart w:id="5" w:name="1.2_5C_requirements"/>
      <w:bookmarkStart w:id="6" w:name="_bookmark1"/>
      <w:bookmarkEnd w:id="5"/>
      <w:bookmarkEnd w:id="6"/>
      <w:r>
        <w:lastRenderedPageBreak/>
        <w:t>5C</w:t>
      </w:r>
      <w:r>
        <w:rPr>
          <w:spacing w:val="-1"/>
        </w:rPr>
        <w:t xml:space="preserve"> </w:t>
      </w:r>
      <w:r>
        <w:t>requirements</w:t>
      </w:r>
    </w:p>
    <w:p w14:paraId="16D230E1" w14:textId="77777777" w:rsidR="00DC308C" w:rsidRDefault="00DC308C">
      <w:pPr>
        <w:pStyle w:val="BodyText"/>
        <w:spacing w:before="3"/>
        <w:rPr>
          <w:rFonts w:ascii="Arial"/>
          <w:b/>
          <w:sz w:val="31"/>
        </w:rPr>
      </w:pPr>
    </w:p>
    <w:p w14:paraId="16D230E2" w14:textId="77777777" w:rsidR="00DC308C" w:rsidRDefault="00980132">
      <w:pPr>
        <w:pStyle w:val="ListParagraph"/>
        <w:numPr>
          <w:ilvl w:val="2"/>
          <w:numId w:val="2"/>
        </w:numPr>
        <w:tabs>
          <w:tab w:val="left" w:pos="720"/>
        </w:tabs>
        <w:ind w:hanging="601"/>
        <w:rPr>
          <w:rFonts w:ascii="Arial"/>
          <w:sz w:val="24"/>
        </w:rPr>
      </w:pPr>
      <w:bookmarkStart w:id="7" w:name="1.2.1_Broad_market_potential"/>
      <w:bookmarkEnd w:id="7"/>
      <w:r>
        <w:rPr>
          <w:rFonts w:ascii="Arial"/>
          <w:sz w:val="24"/>
        </w:rPr>
        <w:t>Broad market</w:t>
      </w:r>
      <w:r>
        <w:rPr>
          <w:rFonts w:ascii="Arial"/>
          <w:spacing w:val="-1"/>
          <w:sz w:val="24"/>
        </w:rPr>
        <w:t xml:space="preserve"> </w:t>
      </w:r>
      <w:r>
        <w:rPr>
          <w:rFonts w:ascii="Arial"/>
          <w:sz w:val="24"/>
        </w:rPr>
        <w:t>potential</w:t>
      </w:r>
    </w:p>
    <w:p w14:paraId="16D230E3" w14:textId="77777777" w:rsidR="00DC308C" w:rsidRDefault="00980132">
      <w:pPr>
        <w:pStyle w:val="BodyText"/>
        <w:spacing w:before="115"/>
        <w:ind w:left="119" w:right="277"/>
      </w:pPr>
      <w:r>
        <w:t>Each proposed IEEE 802 LMSC standard shall have broad market potential. At a minimum, address the following areas:</w:t>
      </w:r>
    </w:p>
    <w:p w14:paraId="16D230E4" w14:textId="77777777" w:rsidR="00DC308C" w:rsidRDefault="00980132" w:rsidP="001C274C">
      <w:pPr>
        <w:pStyle w:val="ListParagraph"/>
        <w:numPr>
          <w:ilvl w:val="1"/>
          <w:numId w:val="3"/>
        </w:numPr>
        <w:tabs>
          <w:tab w:val="left" w:pos="840"/>
        </w:tabs>
        <w:spacing w:before="120"/>
        <w:ind w:hanging="361"/>
        <w:rPr>
          <w:sz w:val="24"/>
        </w:rPr>
      </w:pPr>
      <w:r>
        <w:rPr>
          <w:sz w:val="24"/>
        </w:rPr>
        <w:t>Broad sets of</w:t>
      </w:r>
      <w:r>
        <w:rPr>
          <w:spacing w:val="-1"/>
          <w:sz w:val="24"/>
        </w:rPr>
        <w:t xml:space="preserve"> </w:t>
      </w:r>
      <w:r>
        <w:rPr>
          <w:sz w:val="24"/>
        </w:rPr>
        <w:t>applicability.</w:t>
      </w:r>
    </w:p>
    <w:p w14:paraId="06AA7328" w14:textId="3C789413" w:rsidR="00BE47BA" w:rsidRDefault="00BE47BA" w:rsidP="001C274C">
      <w:pPr>
        <w:tabs>
          <w:tab w:val="left" w:pos="840"/>
        </w:tabs>
        <w:spacing w:before="120"/>
        <w:ind w:left="479"/>
        <w:rPr>
          <w:color w:val="006FC0"/>
        </w:rPr>
      </w:pPr>
      <w:r w:rsidRPr="00305395">
        <w:rPr>
          <w:color w:val="006FC0"/>
        </w:rPr>
        <w:t xml:space="preserve">The data center market continues to grow very fast. Networks with tens of thousands of nodes are common in cloud data centers. There is a trend to converge computing and storage on Ethernet in </w:t>
      </w:r>
      <w:r w:rsidR="00937AAC">
        <w:rPr>
          <w:color w:val="006FC0"/>
        </w:rPr>
        <w:t>data center</w:t>
      </w:r>
      <w:r w:rsidRPr="00305395">
        <w:rPr>
          <w:color w:val="006FC0"/>
        </w:rPr>
        <w:t xml:space="preserve"> networks, supporting cloud services and high-performance applications such as Artificial Intelligence (AI), Machine Learning (ML), and High-Performance Computing (HPC). </w:t>
      </w:r>
      <w:r w:rsidR="00D33C2A" w:rsidRPr="00D33C2A">
        <w:rPr>
          <w:color w:val="006FC0"/>
        </w:rPr>
        <w:t>These and many new applications place high transient loads on data center network</w:t>
      </w:r>
      <w:r w:rsidR="00D33C2A">
        <w:rPr>
          <w:color w:val="006FC0"/>
        </w:rPr>
        <w:t>s</w:t>
      </w:r>
      <w:r w:rsidR="00D33C2A" w:rsidRPr="00D33C2A">
        <w:rPr>
          <w:color w:val="006FC0"/>
        </w:rPr>
        <w:t xml:space="preserve"> which demand fast responding flow control techniques to prevent packet loss. For instance, Remote Direct Memory Access</w:t>
      </w:r>
      <w:r w:rsidR="00D33C2A">
        <w:rPr>
          <w:color w:val="006FC0"/>
        </w:rPr>
        <w:t xml:space="preserve"> (RDMA)</w:t>
      </w:r>
      <w:r w:rsidR="00D33C2A" w:rsidRPr="00D33C2A">
        <w:rPr>
          <w:color w:val="006FC0"/>
        </w:rPr>
        <w:t xml:space="preserve"> over Converged Ethernet (RoCEv2) is widely deployed</w:t>
      </w:r>
      <w:r w:rsidRPr="00305395">
        <w:rPr>
          <w:color w:val="006FC0"/>
        </w:rPr>
        <w:t>, both within data centers and across data center interconnects. RoCEv2 requires lossless operation on Ethernet to avoid wasteful retransmissions. P</w:t>
      </w:r>
      <w:r w:rsidR="00850ADD">
        <w:rPr>
          <w:color w:val="006FC0"/>
        </w:rPr>
        <w:t>riority-based Flow Control (P</w:t>
      </w:r>
      <w:r w:rsidRPr="00305395">
        <w:rPr>
          <w:color w:val="006FC0"/>
        </w:rPr>
        <w:t>FC</w:t>
      </w:r>
      <w:r w:rsidR="00850ADD">
        <w:rPr>
          <w:color w:val="006FC0"/>
        </w:rPr>
        <w:t>, specified in IEEE Std 802.1Q)</w:t>
      </w:r>
      <w:r w:rsidRPr="00305395">
        <w:rPr>
          <w:color w:val="006FC0"/>
        </w:rPr>
        <w:t xml:space="preserve"> </w:t>
      </w:r>
      <w:r w:rsidR="007B1601">
        <w:rPr>
          <w:color w:val="006FC0"/>
        </w:rPr>
        <w:t>is currently used in</w:t>
      </w:r>
      <w:r w:rsidRPr="00305395">
        <w:rPr>
          <w:color w:val="006FC0"/>
        </w:rPr>
        <w:t xml:space="preserve"> data center environments</w:t>
      </w:r>
      <w:r w:rsidR="007B1601">
        <w:rPr>
          <w:color w:val="006FC0"/>
        </w:rPr>
        <w:t>, and Source Flow Control (SFC) will improve i</w:t>
      </w:r>
      <w:r w:rsidR="00C60CE7">
        <w:rPr>
          <w:color w:val="006FC0"/>
        </w:rPr>
        <w:t>t</w:t>
      </w:r>
      <w:r w:rsidR="007B1601">
        <w:rPr>
          <w:color w:val="006FC0"/>
        </w:rPr>
        <w:t xml:space="preserve">s efficiency </w:t>
      </w:r>
      <w:r w:rsidR="00C60CE7">
        <w:rPr>
          <w:color w:val="006FC0"/>
        </w:rPr>
        <w:t xml:space="preserve">by asserting it at the source of transmission while avoiding </w:t>
      </w:r>
      <w:r w:rsidR="009C29CC">
        <w:rPr>
          <w:color w:val="006FC0"/>
        </w:rPr>
        <w:t>its</w:t>
      </w:r>
      <w:r w:rsidR="00C60CE7">
        <w:rPr>
          <w:color w:val="006FC0"/>
        </w:rPr>
        <w:t xml:space="preserve"> deficiencies operating at scale.</w:t>
      </w:r>
    </w:p>
    <w:p w14:paraId="78D56325" w14:textId="77777777" w:rsidR="004631E0" w:rsidRPr="001C274C" w:rsidRDefault="004631E0" w:rsidP="001C274C">
      <w:pPr>
        <w:tabs>
          <w:tab w:val="left" w:pos="840"/>
        </w:tabs>
        <w:spacing w:before="120"/>
        <w:ind w:left="479"/>
        <w:rPr>
          <w:color w:val="006FC0"/>
        </w:rPr>
      </w:pPr>
    </w:p>
    <w:p w14:paraId="16D230E5" w14:textId="77777777" w:rsidR="00DC308C" w:rsidRDefault="00980132" w:rsidP="001C274C">
      <w:pPr>
        <w:pStyle w:val="ListParagraph"/>
        <w:numPr>
          <w:ilvl w:val="1"/>
          <w:numId w:val="3"/>
        </w:numPr>
        <w:tabs>
          <w:tab w:val="left" w:pos="840"/>
        </w:tabs>
        <w:ind w:hanging="361"/>
        <w:rPr>
          <w:sz w:val="24"/>
        </w:rPr>
      </w:pPr>
      <w:r>
        <w:rPr>
          <w:sz w:val="24"/>
        </w:rPr>
        <w:t>Multiple vendors and numerous</w:t>
      </w:r>
      <w:r>
        <w:rPr>
          <w:spacing w:val="-1"/>
          <w:sz w:val="24"/>
        </w:rPr>
        <w:t xml:space="preserve"> </w:t>
      </w:r>
      <w:r>
        <w:rPr>
          <w:sz w:val="24"/>
        </w:rPr>
        <w:t>users.</w:t>
      </w:r>
    </w:p>
    <w:p w14:paraId="16D230E6" w14:textId="356841B2" w:rsidR="00DC308C" w:rsidRDefault="00BE47BA" w:rsidP="001C274C">
      <w:pPr>
        <w:tabs>
          <w:tab w:val="left" w:pos="840"/>
        </w:tabs>
        <w:ind w:left="479"/>
      </w:pPr>
      <w:r w:rsidRPr="00305395">
        <w:rPr>
          <w:color w:val="006FC0"/>
          <w:sz w:val="24"/>
        </w:rPr>
        <w:t>Most cloud data center providers are using RoCEv2</w:t>
      </w:r>
      <w:r w:rsidR="00D33C2A">
        <w:rPr>
          <w:color w:val="006FC0"/>
          <w:sz w:val="24"/>
        </w:rPr>
        <w:t xml:space="preserve"> </w:t>
      </w:r>
      <w:r w:rsidR="00331F35">
        <w:rPr>
          <w:color w:val="006FC0"/>
          <w:sz w:val="24"/>
        </w:rPr>
        <w:t>in addition to</w:t>
      </w:r>
      <w:r w:rsidR="00D33C2A">
        <w:rPr>
          <w:color w:val="006FC0"/>
          <w:sz w:val="24"/>
        </w:rPr>
        <w:t xml:space="preserve"> other new </w:t>
      </w:r>
      <w:r w:rsidR="00331F35">
        <w:rPr>
          <w:color w:val="006FC0"/>
          <w:sz w:val="24"/>
        </w:rPr>
        <w:t xml:space="preserve">high-performance </w:t>
      </w:r>
      <w:r w:rsidR="00D33C2A">
        <w:rPr>
          <w:color w:val="006FC0"/>
          <w:sz w:val="24"/>
        </w:rPr>
        <w:t xml:space="preserve">applications, </w:t>
      </w:r>
      <w:r w:rsidRPr="00305395">
        <w:rPr>
          <w:color w:val="006FC0"/>
          <w:sz w:val="24"/>
        </w:rPr>
        <w:t>within their networks, requir</w:t>
      </w:r>
      <w:r w:rsidR="00331F35">
        <w:rPr>
          <w:color w:val="006FC0"/>
          <w:sz w:val="24"/>
        </w:rPr>
        <w:t>ing</w:t>
      </w:r>
      <w:r w:rsidRPr="00305395">
        <w:rPr>
          <w:color w:val="006FC0"/>
          <w:sz w:val="24"/>
        </w:rPr>
        <w:t xml:space="preserve"> lossless</w:t>
      </w:r>
      <w:r w:rsidR="00C60CE7">
        <w:rPr>
          <w:color w:val="006FC0"/>
          <w:sz w:val="24"/>
        </w:rPr>
        <w:t xml:space="preserve"> or very low loss</w:t>
      </w:r>
      <w:r w:rsidRPr="00305395">
        <w:rPr>
          <w:color w:val="006FC0"/>
          <w:sz w:val="24"/>
        </w:rPr>
        <w:t xml:space="preserve"> operation.  RoCEv2 </w:t>
      </w:r>
      <w:r w:rsidR="00331F35">
        <w:rPr>
          <w:color w:val="006FC0"/>
          <w:sz w:val="24"/>
        </w:rPr>
        <w:t>and other high-performance applications are</w:t>
      </w:r>
      <w:r w:rsidRPr="00305395">
        <w:rPr>
          <w:color w:val="006FC0"/>
          <w:sz w:val="24"/>
        </w:rPr>
        <w:t xml:space="preserve"> also used by large enterprises, financial </w:t>
      </w:r>
      <w:r w:rsidR="00AB7E18" w:rsidRPr="00305395">
        <w:rPr>
          <w:color w:val="006FC0"/>
          <w:sz w:val="24"/>
        </w:rPr>
        <w:t>institutions,</w:t>
      </w:r>
      <w:r w:rsidRPr="00305395">
        <w:rPr>
          <w:color w:val="006FC0"/>
          <w:sz w:val="24"/>
        </w:rPr>
        <w:t xml:space="preserve"> and other high-performance computing environments. Further there is strong interest in accessing new high-speed solid-state data storage technologies over Ethernet networks using </w:t>
      </w:r>
      <w:r w:rsidR="00331F35">
        <w:rPr>
          <w:color w:val="006FC0"/>
          <w:sz w:val="24"/>
        </w:rPr>
        <w:t>non-volatile memory express (</w:t>
      </w:r>
      <w:proofErr w:type="spellStart"/>
      <w:r w:rsidR="00331F35">
        <w:rPr>
          <w:color w:val="006FC0"/>
          <w:sz w:val="24"/>
        </w:rPr>
        <w:t>NVMe</w:t>
      </w:r>
      <w:proofErr w:type="spellEnd"/>
      <w:r w:rsidR="00331F35">
        <w:rPr>
          <w:color w:val="006FC0"/>
          <w:sz w:val="24"/>
        </w:rPr>
        <w:t>) over fabrics (</w:t>
      </w:r>
      <w:proofErr w:type="spellStart"/>
      <w:r w:rsidR="00331F35">
        <w:rPr>
          <w:color w:val="006FC0"/>
          <w:sz w:val="24"/>
        </w:rPr>
        <w:t>NVMe-oF</w:t>
      </w:r>
      <w:proofErr w:type="spellEnd"/>
      <w:r w:rsidR="00331F35">
        <w:rPr>
          <w:color w:val="006FC0"/>
          <w:sz w:val="24"/>
        </w:rPr>
        <w:t>)</w:t>
      </w:r>
      <w:r w:rsidRPr="00305395">
        <w:rPr>
          <w:color w:val="006FC0"/>
          <w:sz w:val="24"/>
        </w:rPr>
        <w:t>.</w:t>
      </w:r>
    </w:p>
    <w:p w14:paraId="16D230E9" w14:textId="26C997A9" w:rsidR="00DC308C" w:rsidRDefault="00305395" w:rsidP="001C274C">
      <w:pPr>
        <w:tabs>
          <w:tab w:val="left" w:pos="945"/>
          <w:tab w:val="left" w:pos="946"/>
        </w:tabs>
        <w:spacing w:line="252" w:lineRule="auto"/>
        <w:ind w:right="220"/>
      </w:pPr>
      <w:r w:rsidRPr="001C274C">
        <w:rPr>
          <w:color w:val="006FC0"/>
          <w:sz w:val="24"/>
        </w:rPr>
        <w:t xml:space="preserve"> </w:t>
      </w:r>
    </w:p>
    <w:p w14:paraId="16D230EA" w14:textId="77777777" w:rsidR="00DC308C" w:rsidRDefault="00980132">
      <w:pPr>
        <w:pStyle w:val="ListParagraph"/>
        <w:numPr>
          <w:ilvl w:val="2"/>
          <w:numId w:val="2"/>
        </w:numPr>
        <w:tabs>
          <w:tab w:val="left" w:pos="720"/>
        </w:tabs>
        <w:spacing w:before="221"/>
        <w:ind w:hanging="601"/>
        <w:rPr>
          <w:rFonts w:ascii="Arial"/>
          <w:sz w:val="24"/>
        </w:rPr>
      </w:pPr>
      <w:bookmarkStart w:id="8" w:name="1.2.2_Compatibility"/>
      <w:bookmarkEnd w:id="8"/>
      <w:r>
        <w:rPr>
          <w:rFonts w:ascii="Arial"/>
          <w:sz w:val="24"/>
        </w:rPr>
        <w:t>Compatibility</w:t>
      </w:r>
    </w:p>
    <w:p w14:paraId="16D230EB" w14:textId="77777777" w:rsidR="00DC308C" w:rsidRDefault="00980132">
      <w:pPr>
        <w:pStyle w:val="BodyText"/>
        <w:spacing w:before="115"/>
        <w:ind w:left="119" w:right="340"/>
        <w:jc w:val="both"/>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16D230EC" w14:textId="77777777" w:rsidR="00DC308C" w:rsidRDefault="00980132" w:rsidP="001C274C">
      <w:pPr>
        <w:pStyle w:val="ListParagraph"/>
        <w:numPr>
          <w:ilvl w:val="2"/>
          <w:numId w:val="3"/>
        </w:numPr>
        <w:tabs>
          <w:tab w:val="left" w:pos="840"/>
        </w:tabs>
        <w:spacing w:before="120"/>
        <w:ind w:left="839" w:right="179" w:hanging="413"/>
        <w:jc w:val="both"/>
        <w:rPr>
          <w:sz w:val="24"/>
        </w:rPr>
      </w:pPr>
      <w:r>
        <w:rPr>
          <w:sz w:val="24"/>
        </w:rPr>
        <w:t>Will the proposed standard comply with IEEE Std 802, IEEE Std 802.1AC and IEEE Std 802.1Q?</w:t>
      </w:r>
    </w:p>
    <w:p w14:paraId="16D230ED" w14:textId="77777777" w:rsidR="00DC308C" w:rsidRDefault="00980132" w:rsidP="001C274C">
      <w:pPr>
        <w:pStyle w:val="ListParagraph"/>
        <w:numPr>
          <w:ilvl w:val="2"/>
          <w:numId w:val="3"/>
        </w:numPr>
        <w:tabs>
          <w:tab w:val="left" w:pos="840"/>
        </w:tabs>
        <w:ind w:left="840" w:hanging="414"/>
        <w:jc w:val="both"/>
        <w:rPr>
          <w:sz w:val="24"/>
        </w:rPr>
      </w:pPr>
      <w:r>
        <w:rPr>
          <w:sz w:val="24"/>
        </w:rPr>
        <w:t>If the answer to a) is no, supply the response from the IEEE 802.1</w:t>
      </w:r>
      <w:r>
        <w:rPr>
          <w:spacing w:val="-10"/>
          <w:sz w:val="24"/>
        </w:rPr>
        <w:t xml:space="preserve"> </w:t>
      </w:r>
      <w:r>
        <w:rPr>
          <w:sz w:val="24"/>
        </w:rPr>
        <w:t>WG.</w:t>
      </w:r>
    </w:p>
    <w:p w14:paraId="16D230EE" w14:textId="77777777" w:rsidR="00DC308C" w:rsidRDefault="00DC308C">
      <w:pPr>
        <w:pStyle w:val="BodyText"/>
      </w:pPr>
    </w:p>
    <w:p w14:paraId="16D230EF" w14:textId="1B67191D" w:rsidR="00DC308C" w:rsidRDefault="00BE47BA">
      <w:pPr>
        <w:ind w:left="585"/>
        <w:jc w:val="both"/>
      </w:pPr>
      <w:r w:rsidRPr="001C274C">
        <w:rPr>
          <w:color w:val="006FC0"/>
        </w:rPr>
        <w:t>The</w:t>
      </w:r>
      <w:r w:rsidR="00305395" w:rsidRPr="00305395">
        <w:rPr>
          <w:color w:val="006FC0"/>
        </w:rPr>
        <w:t xml:space="preserve"> project will be in conformance with IEEE Std 802, IEEE Std 802.1AC, and the existing provisions of IEEE </w:t>
      </w:r>
      <w:r w:rsidR="000944AA" w:rsidRPr="00832844">
        <w:rPr>
          <w:color w:val="006FC0"/>
        </w:rPr>
        <w:t>Std</w:t>
      </w:r>
      <w:r w:rsidR="000944AA">
        <w:rPr>
          <w:color w:val="006FC0"/>
        </w:rPr>
        <w:t xml:space="preserve"> </w:t>
      </w:r>
      <w:r w:rsidR="00305395" w:rsidRPr="00305395">
        <w:rPr>
          <w:color w:val="006FC0"/>
        </w:rPr>
        <w:t>802.1Q</w:t>
      </w:r>
      <w:r w:rsidR="00980132">
        <w:rPr>
          <w:color w:val="006FC0"/>
        </w:rPr>
        <w:t>.</w:t>
      </w:r>
    </w:p>
    <w:p w14:paraId="16D230F0" w14:textId="77777777" w:rsidR="00DC308C" w:rsidRDefault="00DC308C">
      <w:pPr>
        <w:pStyle w:val="BodyText"/>
        <w:spacing w:before="4"/>
      </w:pPr>
    </w:p>
    <w:p w14:paraId="16D230F1" w14:textId="77777777" w:rsidR="00DC308C" w:rsidRDefault="00980132">
      <w:pPr>
        <w:pStyle w:val="BodyText"/>
        <w:ind w:left="119" w:right="177"/>
      </w:pPr>
      <w:r>
        <w:t xml:space="preserve">The review and response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16D230F2" w14:textId="77777777" w:rsidR="00DC308C" w:rsidRDefault="00DC308C">
      <w:pPr>
        <w:pStyle w:val="BodyText"/>
        <w:spacing w:before="8"/>
        <w:rPr>
          <w:sz w:val="31"/>
        </w:rPr>
      </w:pPr>
    </w:p>
    <w:p w14:paraId="16D230F3" w14:textId="77777777" w:rsidR="00DC308C" w:rsidRDefault="00980132">
      <w:pPr>
        <w:pStyle w:val="ListParagraph"/>
        <w:numPr>
          <w:ilvl w:val="2"/>
          <w:numId w:val="2"/>
        </w:numPr>
        <w:tabs>
          <w:tab w:val="left" w:pos="720"/>
        </w:tabs>
        <w:spacing w:before="1"/>
        <w:rPr>
          <w:rFonts w:ascii="Arial"/>
          <w:sz w:val="24"/>
        </w:rPr>
      </w:pPr>
      <w:bookmarkStart w:id="9" w:name="1.2.3_Distinct_Identity"/>
      <w:bookmarkEnd w:id="9"/>
      <w:r>
        <w:rPr>
          <w:rFonts w:ascii="Arial"/>
          <w:sz w:val="24"/>
        </w:rPr>
        <w:t>Distinct Identity</w:t>
      </w:r>
    </w:p>
    <w:p w14:paraId="16D230F4" w14:textId="77777777" w:rsidR="00DC308C" w:rsidRDefault="00980132">
      <w:pPr>
        <w:pStyle w:val="BodyText"/>
        <w:spacing w:before="115"/>
        <w:ind w:left="120" w:right="149"/>
      </w:pPr>
      <w:r>
        <w:t xml:space="preserve">Each proposed IEEE 802 LMSC standard shall provide evidence of a distinct identity. Identify standards and standards projects with similar scopes and for each one </w:t>
      </w:r>
      <w:proofErr w:type="gramStart"/>
      <w:r>
        <w:t>describe</w:t>
      </w:r>
      <w:proofErr w:type="gramEnd"/>
      <w:r>
        <w:t xml:space="preserve"> why the proposed project is substantially different.</w:t>
      </w:r>
    </w:p>
    <w:p w14:paraId="16D230F5" w14:textId="77777777" w:rsidR="00DC308C" w:rsidRDefault="00DC308C">
      <w:pPr>
        <w:sectPr w:rsidR="00DC308C">
          <w:pgSz w:w="12240" w:h="15840"/>
          <w:pgMar w:top="1380" w:right="1340" w:bottom="280" w:left="1320" w:header="720" w:footer="720" w:gutter="0"/>
          <w:cols w:space="720"/>
        </w:sectPr>
      </w:pPr>
    </w:p>
    <w:p w14:paraId="16D230F6" w14:textId="63A7304E" w:rsidR="00DC308C" w:rsidRDefault="00305395">
      <w:pPr>
        <w:pStyle w:val="BodyText"/>
        <w:spacing w:before="77" w:line="252" w:lineRule="auto"/>
        <w:ind w:left="238" w:right="1337"/>
      </w:pPr>
      <w:r w:rsidRPr="00305395">
        <w:rPr>
          <w:color w:val="006FC0"/>
        </w:rPr>
        <w:lastRenderedPageBreak/>
        <w:t xml:space="preserve">There are no other IEEE 802 standards or projects that specify </w:t>
      </w:r>
      <w:r w:rsidR="004265A7">
        <w:rPr>
          <w:color w:val="006FC0"/>
        </w:rPr>
        <w:t>the remote invocation of flow control at the source of transmission in the data center.</w:t>
      </w:r>
    </w:p>
    <w:p w14:paraId="16D230F7" w14:textId="14A57C9A" w:rsidR="00DC308C" w:rsidRDefault="00DC308C">
      <w:pPr>
        <w:pStyle w:val="BodyText"/>
        <w:spacing w:before="7"/>
        <w:rPr>
          <w:sz w:val="31"/>
        </w:rPr>
      </w:pPr>
    </w:p>
    <w:p w14:paraId="16D230F8" w14:textId="77777777" w:rsidR="00DC308C" w:rsidRDefault="00980132">
      <w:pPr>
        <w:pStyle w:val="ListParagraph"/>
        <w:numPr>
          <w:ilvl w:val="2"/>
          <w:numId w:val="2"/>
        </w:numPr>
        <w:tabs>
          <w:tab w:val="left" w:pos="720"/>
        </w:tabs>
        <w:rPr>
          <w:rFonts w:ascii="Arial"/>
          <w:sz w:val="24"/>
        </w:rPr>
      </w:pPr>
      <w:bookmarkStart w:id="10" w:name="1.2.4_Technical_Feasibility"/>
      <w:bookmarkEnd w:id="10"/>
      <w:r>
        <w:rPr>
          <w:rFonts w:ascii="Arial"/>
          <w:sz w:val="24"/>
        </w:rPr>
        <w:t>Technical</w:t>
      </w:r>
      <w:r>
        <w:rPr>
          <w:rFonts w:ascii="Arial"/>
          <w:spacing w:val="-1"/>
          <w:sz w:val="24"/>
        </w:rPr>
        <w:t xml:space="preserve"> </w:t>
      </w:r>
      <w:r>
        <w:rPr>
          <w:rFonts w:ascii="Arial"/>
          <w:sz w:val="24"/>
        </w:rPr>
        <w:t>Feasibility</w:t>
      </w:r>
    </w:p>
    <w:p w14:paraId="16D230F9" w14:textId="77777777" w:rsidR="00DC308C" w:rsidRDefault="00980132">
      <w:pPr>
        <w:pStyle w:val="BodyText"/>
        <w:spacing w:before="115"/>
        <w:ind w:left="120" w:right="382"/>
      </w:pPr>
      <w:r>
        <w:t>Each proposed IEEE 802 LMSC standard shall provide evidence that the project is technically feasible within the time frame of the project. At a minimum, address the following items to demonstrate technical feasibility:</w:t>
      </w:r>
    </w:p>
    <w:p w14:paraId="25A1863A" w14:textId="77777777" w:rsidR="00BE47BA" w:rsidRDefault="00BE47BA" w:rsidP="001C274C">
      <w:pPr>
        <w:pStyle w:val="ListParagraph"/>
        <w:numPr>
          <w:ilvl w:val="0"/>
          <w:numId w:val="4"/>
        </w:numPr>
        <w:tabs>
          <w:tab w:val="left" w:pos="567"/>
        </w:tabs>
        <w:spacing w:before="120"/>
        <w:ind w:left="851" w:hanging="284"/>
        <w:rPr>
          <w:sz w:val="24"/>
        </w:rPr>
      </w:pPr>
      <w:r>
        <w:rPr>
          <w:sz w:val="24"/>
        </w:rPr>
        <w:t xml:space="preserve"> </w:t>
      </w:r>
      <w:r w:rsidR="00980132">
        <w:rPr>
          <w:sz w:val="24"/>
        </w:rPr>
        <w:t>Demonstrated system</w:t>
      </w:r>
      <w:r w:rsidR="00980132">
        <w:rPr>
          <w:spacing w:val="-3"/>
          <w:sz w:val="24"/>
        </w:rPr>
        <w:t xml:space="preserve"> </w:t>
      </w:r>
      <w:r w:rsidR="00980132">
        <w:rPr>
          <w:sz w:val="24"/>
        </w:rPr>
        <w:t>feasibility.</w:t>
      </w:r>
    </w:p>
    <w:p w14:paraId="7D8B52FA" w14:textId="4B4D4C71" w:rsidR="00BE47BA" w:rsidRDefault="00E15A13" w:rsidP="001C274C">
      <w:pPr>
        <w:pStyle w:val="ListParagraph"/>
        <w:tabs>
          <w:tab w:val="left" w:pos="567"/>
        </w:tabs>
        <w:spacing w:before="120"/>
        <w:ind w:left="851" w:firstLine="0"/>
        <w:rPr>
          <w:color w:val="006FC0"/>
        </w:rPr>
      </w:pPr>
      <w:r>
        <w:rPr>
          <w:color w:val="006FC0"/>
        </w:rPr>
        <w:t xml:space="preserve">Techniques, </w:t>
      </w:r>
      <w:proofErr w:type="gramStart"/>
      <w:r>
        <w:rPr>
          <w:color w:val="006FC0"/>
        </w:rPr>
        <w:t>similar to</w:t>
      </w:r>
      <w:proofErr w:type="gramEnd"/>
      <w:r>
        <w:rPr>
          <w:color w:val="006FC0"/>
        </w:rPr>
        <w:t xml:space="preserve"> the</w:t>
      </w:r>
      <w:r w:rsidR="00BE47BA" w:rsidRPr="001C274C">
        <w:rPr>
          <w:color w:val="006FC0"/>
        </w:rPr>
        <w:t xml:space="preserve"> proposed project</w:t>
      </w:r>
      <w:r>
        <w:rPr>
          <w:color w:val="006FC0"/>
        </w:rPr>
        <w:t xml:space="preserve"> have been implemented in a proprietary fashion by multiple vendors</w:t>
      </w:r>
      <w:r w:rsidR="00BC050A">
        <w:rPr>
          <w:color w:val="006FC0"/>
        </w:rPr>
        <w:t>.</w:t>
      </w:r>
      <w:r w:rsidR="00241453">
        <w:rPr>
          <w:color w:val="006FC0"/>
        </w:rPr>
        <w:t xml:space="preserve">  </w:t>
      </w:r>
      <w:r w:rsidR="00241453" w:rsidRPr="00241453">
        <w:rPr>
          <w:color w:val="006FC0"/>
        </w:rPr>
        <w:t>The proposed amendment will be applied only in networks of limited bandwidth-delay product and where both bridges and end</w:t>
      </w:r>
      <w:r w:rsidR="00241453">
        <w:rPr>
          <w:color w:val="006FC0"/>
        </w:rPr>
        <w:t xml:space="preserve"> </w:t>
      </w:r>
      <w:r w:rsidR="00241453" w:rsidRPr="00241453">
        <w:rPr>
          <w:color w:val="006FC0"/>
        </w:rPr>
        <w:t>stations are typically under the control of a single administration.</w:t>
      </w:r>
      <w:r w:rsidR="00241453">
        <w:rPr>
          <w:color w:val="006FC0"/>
        </w:rPr>
        <w:t xml:space="preserve"> </w:t>
      </w:r>
      <w:r w:rsidR="00241453" w:rsidRPr="00241453">
        <w:rPr>
          <w:color w:val="006FC0"/>
        </w:rPr>
        <w:t xml:space="preserve">This reduces the risk that the benefits of the technique will be eroded by over extended control loops or by end stations </w:t>
      </w:r>
      <w:r w:rsidR="00241453">
        <w:rPr>
          <w:color w:val="006FC0"/>
        </w:rPr>
        <w:t>acting as adversaries</w:t>
      </w:r>
      <w:r w:rsidR="00241453" w:rsidRPr="00241453">
        <w:rPr>
          <w:color w:val="006FC0"/>
        </w:rPr>
        <w:t>.</w:t>
      </w:r>
      <w:r w:rsidR="00241453">
        <w:rPr>
          <w:color w:val="006FC0"/>
        </w:rPr>
        <w:t xml:space="preserve">  Source Flow Control remotely invokes Priority-based Flow Control which </w:t>
      </w:r>
      <w:r w:rsidR="00241453" w:rsidRPr="00241453">
        <w:rPr>
          <w:color w:val="006FC0"/>
        </w:rPr>
        <w:t>has been implemented in hardware at acceptable cost.</w:t>
      </w:r>
    </w:p>
    <w:p w14:paraId="0BBB0BD6" w14:textId="77777777" w:rsidR="00BE47BA" w:rsidRPr="00BE47BA" w:rsidRDefault="00BE47BA" w:rsidP="001C274C">
      <w:pPr>
        <w:pStyle w:val="ListParagraph"/>
        <w:tabs>
          <w:tab w:val="left" w:pos="567"/>
        </w:tabs>
        <w:spacing w:before="120"/>
        <w:ind w:left="851" w:firstLine="0"/>
        <w:rPr>
          <w:sz w:val="24"/>
        </w:rPr>
      </w:pPr>
    </w:p>
    <w:p w14:paraId="64B1DF40" w14:textId="77777777" w:rsidR="00BE47BA" w:rsidRDefault="00BE47BA" w:rsidP="001C274C">
      <w:pPr>
        <w:pStyle w:val="ListParagraph"/>
        <w:numPr>
          <w:ilvl w:val="0"/>
          <w:numId w:val="4"/>
        </w:numPr>
        <w:tabs>
          <w:tab w:val="left" w:pos="840"/>
        </w:tabs>
        <w:ind w:left="851" w:hanging="284"/>
        <w:rPr>
          <w:sz w:val="24"/>
        </w:rPr>
      </w:pPr>
      <w:r>
        <w:rPr>
          <w:sz w:val="24"/>
        </w:rPr>
        <w:t xml:space="preserve"> </w:t>
      </w:r>
      <w:r w:rsidR="00980132">
        <w:rPr>
          <w:sz w:val="24"/>
        </w:rPr>
        <w:t>Proven similar technology via testing, modeling, simulation,</w:t>
      </w:r>
      <w:r w:rsidR="00980132">
        <w:rPr>
          <w:spacing w:val="-6"/>
          <w:sz w:val="24"/>
        </w:rPr>
        <w:t xml:space="preserve"> </w:t>
      </w:r>
      <w:r w:rsidR="00980132">
        <w:rPr>
          <w:sz w:val="24"/>
        </w:rPr>
        <w:t>etc.</w:t>
      </w:r>
    </w:p>
    <w:p w14:paraId="3BCD139A" w14:textId="567AA884" w:rsidR="00BE47BA" w:rsidRPr="001C274C" w:rsidRDefault="00E15A13" w:rsidP="00AB7E18">
      <w:pPr>
        <w:pStyle w:val="ListParagraph"/>
        <w:tabs>
          <w:tab w:val="left" w:pos="840"/>
        </w:tabs>
        <w:ind w:left="851" w:firstLine="0"/>
        <w:rPr>
          <w:sz w:val="24"/>
        </w:rPr>
      </w:pPr>
      <w:r>
        <w:rPr>
          <w:color w:val="006FC0"/>
          <w:sz w:val="24"/>
        </w:rPr>
        <w:t xml:space="preserve">The proposed project implements backward congestion signaling which has extensive simulation and analysis over the course of 30 years. </w:t>
      </w:r>
      <w:r w:rsidR="00BE47BA" w:rsidRPr="001C274C">
        <w:rPr>
          <w:color w:val="006FC0"/>
          <w:sz w:val="24"/>
        </w:rPr>
        <w:t xml:space="preserve">The proposed project enables peer nodes to advertise the new capability through the </w:t>
      </w:r>
      <w:r w:rsidR="00850ADD">
        <w:rPr>
          <w:color w:val="006FC0"/>
          <w:sz w:val="24"/>
        </w:rPr>
        <w:t>Data Center Bridging Capability Exchange (</w:t>
      </w:r>
      <w:r w:rsidR="00BE47BA" w:rsidRPr="001C274C">
        <w:rPr>
          <w:color w:val="006FC0"/>
          <w:sz w:val="24"/>
        </w:rPr>
        <w:t>DCBX</w:t>
      </w:r>
      <w:r w:rsidR="00850ADD">
        <w:rPr>
          <w:color w:val="006FC0"/>
          <w:sz w:val="24"/>
        </w:rPr>
        <w:t>, specified in IEEE Std 802.1Q)</w:t>
      </w:r>
      <w:r w:rsidR="00BE47BA" w:rsidRPr="001C274C">
        <w:rPr>
          <w:color w:val="006FC0"/>
          <w:sz w:val="24"/>
        </w:rPr>
        <w:t xml:space="preserve"> mechanism which is widely deployed today using </w:t>
      </w:r>
      <w:r w:rsidR="00850ADD">
        <w:rPr>
          <w:color w:val="006FC0"/>
          <w:sz w:val="24"/>
        </w:rPr>
        <w:t xml:space="preserve">“Link Layer Discovery Protocol </w:t>
      </w:r>
      <w:proofErr w:type="gramStart"/>
      <w:r w:rsidR="00850ADD">
        <w:rPr>
          <w:color w:val="006FC0"/>
          <w:sz w:val="24"/>
        </w:rPr>
        <w:t xml:space="preserve">( </w:t>
      </w:r>
      <w:r w:rsidR="00BE47BA" w:rsidRPr="001C274C">
        <w:rPr>
          <w:color w:val="006FC0"/>
          <w:sz w:val="24"/>
        </w:rPr>
        <w:t>LLDP</w:t>
      </w:r>
      <w:proofErr w:type="gramEnd"/>
      <w:r w:rsidR="00850ADD">
        <w:rPr>
          <w:color w:val="006FC0"/>
          <w:sz w:val="24"/>
        </w:rPr>
        <w:t>, specified in IEEE Std 802.1AB)</w:t>
      </w:r>
      <w:r w:rsidR="00BE47BA" w:rsidRPr="001C274C">
        <w:rPr>
          <w:color w:val="006FC0"/>
          <w:sz w:val="24"/>
        </w:rPr>
        <w:t>.</w:t>
      </w:r>
    </w:p>
    <w:p w14:paraId="7C8EC7FD" w14:textId="77777777" w:rsidR="00BE47BA" w:rsidRDefault="00BE47BA" w:rsidP="001C274C">
      <w:pPr>
        <w:pStyle w:val="ListParagraph"/>
        <w:tabs>
          <w:tab w:val="left" w:pos="840"/>
        </w:tabs>
        <w:ind w:left="709" w:firstLine="0"/>
        <w:rPr>
          <w:sz w:val="24"/>
        </w:rPr>
      </w:pPr>
    </w:p>
    <w:p w14:paraId="16D23100" w14:textId="77777777" w:rsidR="00DC308C" w:rsidRDefault="00980132">
      <w:pPr>
        <w:pStyle w:val="ListParagraph"/>
        <w:numPr>
          <w:ilvl w:val="2"/>
          <w:numId w:val="2"/>
        </w:numPr>
        <w:tabs>
          <w:tab w:val="left" w:pos="720"/>
        </w:tabs>
        <w:spacing w:before="222"/>
        <w:rPr>
          <w:rFonts w:ascii="Arial"/>
          <w:sz w:val="24"/>
        </w:rPr>
      </w:pPr>
      <w:bookmarkStart w:id="11" w:name="1.2.5_Economic_Feasibility"/>
      <w:bookmarkEnd w:id="11"/>
      <w:r>
        <w:rPr>
          <w:rFonts w:ascii="Arial"/>
          <w:sz w:val="24"/>
        </w:rPr>
        <w:t>Economic Feasibility</w:t>
      </w:r>
    </w:p>
    <w:p w14:paraId="12A49801" w14:textId="30C1B246" w:rsidR="00F42CCC" w:rsidRDefault="00980132">
      <w:pPr>
        <w:pStyle w:val="BodyText"/>
        <w:spacing w:before="115"/>
        <w:ind w:left="120" w:right="569"/>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F03A415" w14:textId="11E0FEE0" w:rsidR="00F42CCC" w:rsidRDefault="00980132" w:rsidP="001C274C">
      <w:pPr>
        <w:pStyle w:val="BodyText"/>
        <w:numPr>
          <w:ilvl w:val="3"/>
          <w:numId w:val="2"/>
        </w:numPr>
        <w:spacing w:before="115"/>
        <w:ind w:right="569"/>
      </w:pPr>
      <w:r w:rsidRPr="00F42CCC">
        <w:t>Known cost</w:t>
      </w:r>
      <w:r w:rsidRPr="00F42CCC">
        <w:rPr>
          <w:spacing w:val="-1"/>
        </w:rPr>
        <w:t xml:space="preserve"> </w:t>
      </w:r>
      <w:r w:rsidRPr="00F42CCC">
        <w:t>factors.</w:t>
      </w:r>
      <w:r w:rsidR="00F42CCC" w:rsidRPr="001C274C">
        <w:t xml:space="preserve">  </w:t>
      </w:r>
    </w:p>
    <w:p w14:paraId="76162201" w14:textId="0148744B" w:rsidR="00F42CCC" w:rsidRPr="001C274C" w:rsidRDefault="00EB14E8" w:rsidP="001C274C">
      <w:pPr>
        <w:ind w:left="840"/>
        <w:rPr>
          <w:color w:val="006FC0"/>
          <w:sz w:val="24"/>
          <w:szCs w:val="24"/>
        </w:rPr>
      </w:pPr>
      <w:r w:rsidRPr="00EB14E8">
        <w:rPr>
          <w:color w:val="006FC0"/>
          <w:sz w:val="24"/>
          <w:szCs w:val="24"/>
        </w:rPr>
        <w:t>The proposed amendment will retain existing cost characteristics of bridges including simplicity of queue structures and will not require maintenance of additional queues or queue state beyond the existing per traffic class</w:t>
      </w:r>
      <w:r>
        <w:rPr>
          <w:color w:val="006FC0"/>
          <w:sz w:val="24"/>
          <w:szCs w:val="24"/>
        </w:rPr>
        <w:t xml:space="preserve"> </w:t>
      </w:r>
      <w:r w:rsidRPr="00EB14E8">
        <w:rPr>
          <w:color w:val="006FC0"/>
          <w:sz w:val="24"/>
          <w:szCs w:val="24"/>
        </w:rPr>
        <w:t xml:space="preserve">(priority) queues for conformance to either its mandatory or optional provisions. </w:t>
      </w:r>
      <w:proofErr w:type="gramStart"/>
      <w:r>
        <w:rPr>
          <w:color w:val="006FC0"/>
          <w:sz w:val="24"/>
          <w:szCs w:val="24"/>
        </w:rPr>
        <w:t>In particular, p</w:t>
      </w:r>
      <w:r w:rsidRPr="00EB14E8">
        <w:rPr>
          <w:color w:val="006FC0"/>
          <w:sz w:val="24"/>
          <w:szCs w:val="24"/>
        </w:rPr>
        <w:t>er-flow</w:t>
      </w:r>
      <w:proofErr w:type="gramEnd"/>
      <w:r w:rsidRPr="00EB14E8">
        <w:rPr>
          <w:color w:val="006FC0"/>
          <w:sz w:val="24"/>
          <w:szCs w:val="24"/>
        </w:rPr>
        <w:t xml:space="preserve"> queuing and state will not be required.</w:t>
      </w:r>
      <w:r>
        <w:rPr>
          <w:color w:val="006FC0"/>
          <w:sz w:val="24"/>
          <w:szCs w:val="24"/>
        </w:rPr>
        <w:t xml:space="preserve">  The technique</w:t>
      </w:r>
      <w:r w:rsidRPr="00EB14E8">
        <w:rPr>
          <w:color w:val="006FC0"/>
          <w:sz w:val="24"/>
          <w:szCs w:val="24"/>
        </w:rPr>
        <w:t xml:space="preserve"> remotely invokes Priority-based Flow Control which has been implemented in hardware at acceptable cost.</w:t>
      </w:r>
      <w:r w:rsidR="00C1027C">
        <w:rPr>
          <w:color w:val="006FC0"/>
          <w:sz w:val="24"/>
          <w:szCs w:val="24"/>
        </w:rPr>
        <w:t xml:space="preserve"> </w:t>
      </w:r>
      <w:r w:rsidR="00C1027C" w:rsidRPr="00C1027C">
        <w:rPr>
          <w:color w:val="006FC0"/>
          <w:sz w:val="24"/>
          <w:szCs w:val="24"/>
        </w:rPr>
        <w:t xml:space="preserve">The proposed technology </w:t>
      </w:r>
      <w:r w:rsidR="00C1027C">
        <w:rPr>
          <w:color w:val="006FC0"/>
          <w:sz w:val="24"/>
          <w:szCs w:val="24"/>
        </w:rPr>
        <w:t xml:space="preserve">further enables a converged network within the data center and is expected to </w:t>
      </w:r>
      <w:r w:rsidR="00C1027C" w:rsidRPr="00C1027C">
        <w:rPr>
          <w:color w:val="006FC0"/>
          <w:sz w:val="24"/>
          <w:szCs w:val="24"/>
        </w:rPr>
        <w:t>reduce overall costs where separate networks are currently required</w:t>
      </w:r>
      <w:r w:rsidR="00C1027C">
        <w:rPr>
          <w:color w:val="006FC0"/>
          <w:sz w:val="24"/>
          <w:szCs w:val="24"/>
        </w:rPr>
        <w:t>.</w:t>
      </w:r>
    </w:p>
    <w:p w14:paraId="79B19E25" w14:textId="7F9E89E0" w:rsidR="00D01A8A" w:rsidRDefault="00980132" w:rsidP="001C274C">
      <w:pPr>
        <w:pStyle w:val="BodyText"/>
        <w:numPr>
          <w:ilvl w:val="3"/>
          <w:numId w:val="2"/>
        </w:numPr>
        <w:spacing w:before="115"/>
        <w:ind w:right="569"/>
      </w:pPr>
      <w:r w:rsidRPr="001C274C">
        <w:rPr>
          <w:sz w:val="22"/>
        </w:rPr>
        <w:t>Balanced</w:t>
      </w:r>
      <w:r w:rsidRPr="001C274C">
        <w:rPr>
          <w:spacing w:val="-1"/>
          <w:sz w:val="22"/>
        </w:rPr>
        <w:t xml:space="preserve"> </w:t>
      </w:r>
      <w:r w:rsidRPr="001C274C">
        <w:rPr>
          <w:sz w:val="22"/>
        </w:rPr>
        <w:t>costs.</w:t>
      </w:r>
    </w:p>
    <w:p w14:paraId="2BF7906D" w14:textId="77777777" w:rsidR="00EB14E8" w:rsidRDefault="00D01A8A" w:rsidP="001C274C">
      <w:pPr>
        <w:ind w:left="840"/>
        <w:rPr>
          <w:color w:val="006FC0"/>
          <w:sz w:val="24"/>
          <w:szCs w:val="24"/>
        </w:rPr>
      </w:pPr>
      <w:r w:rsidRPr="001C274C">
        <w:rPr>
          <w:color w:val="006FC0"/>
          <w:sz w:val="24"/>
          <w:szCs w:val="24"/>
        </w:rPr>
        <w:t xml:space="preserve">The proposed project does not </w:t>
      </w:r>
      <w:r>
        <w:rPr>
          <w:color w:val="006FC0"/>
          <w:sz w:val="24"/>
          <w:szCs w:val="24"/>
        </w:rPr>
        <w:t xml:space="preserve">change the cost characteristics of </w:t>
      </w:r>
      <w:r w:rsidR="00197E11">
        <w:rPr>
          <w:color w:val="006FC0"/>
          <w:sz w:val="24"/>
          <w:szCs w:val="24"/>
        </w:rPr>
        <w:t>bridges</w:t>
      </w:r>
      <w:r w:rsidR="00A1297A">
        <w:rPr>
          <w:color w:val="006FC0"/>
          <w:sz w:val="24"/>
          <w:szCs w:val="24"/>
        </w:rPr>
        <w:t xml:space="preserve"> and </w:t>
      </w:r>
      <w:r w:rsidR="000944AA" w:rsidRPr="00832844">
        <w:rPr>
          <w:color w:val="006FC0"/>
          <w:sz w:val="24"/>
          <w:szCs w:val="24"/>
        </w:rPr>
        <w:t>end</w:t>
      </w:r>
      <w:r w:rsidR="000944AA">
        <w:rPr>
          <w:color w:val="006FC0"/>
          <w:sz w:val="24"/>
          <w:szCs w:val="24"/>
        </w:rPr>
        <w:t xml:space="preserve"> </w:t>
      </w:r>
      <w:r w:rsidR="00A1297A">
        <w:rPr>
          <w:color w:val="006FC0"/>
          <w:sz w:val="24"/>
          <w:szCs w:val="24"/>
        </w:rPr>
        <w:t>stations</w:t>
      </w:r>
      <w:r w:rsidR="00197E11">
        <w:rPr>
          <w:color w:val="006FC0"/>
          <w:sz w:val="24"/>
          <w:szCs w:val="24"/>
        </w:rPr>
        <w:t>.</w:t>
      </w:r>
    </w:p>
    <w:p w14:paraId="4A236464" w14:textId="51830F87" w:rsidR="00F42CCC" w:rsidRPr="001C274C" w:rsidRDefault="00197E11" w:rsidP="001C274C">
      <w:pPr>
        <w:ind w:left="840"/>
        <w:rPr>
          <w:color w:val="006FC0"/>
          <w:sz w:val="24"/>
          <w:szCs w:val="24"/>
        </w:rPr>
      </w:pPr>
      <w:r>
        <w:rPr>
          <w:color w:val="006FC0"/>
          <w:sz w:val="24"/>
          <w:szCs w:val="24"/>
        </w:rPr>
        <w:t xml:space="preserve"> </w:t>
      </w:r>
    </w:p>
    <w:p w14:paraId="4ACF3D0C" w14:textId="001C408D" w:rsidR="00F42CCC" w:rsidRPr="001C274C" w:rsidRDefault="00980132" w:rsidP="001C274C">
      <w:pPr>
        <w:numPr>
          <w:ilvl w:val="3"/>
          <w:numId w:val="2"/>
        </w:numPr>
      </w:pPr>
      <w:r w:rsidRPr="001C274C">
        <w:t>Consideration of installation</w:t>
      </w:r>
      <w:r w:rsidRPr="001C274C">
        <w:rPr>
          <w:spacing w:val="-1"/>
        </w:rPr>
        <w:t xml:space="preserve"> </w:t>
      </w:r>
      <w:r w:rsidRPr="001C274C">
        <w:t>costs.</w:t>
      </w:r>
    </w:p>
    <w:p w14:paraId="6E021305" w14:textId="683B0240" w:rsidR="00C1027C" w:rsidRPr="001C274C" w:rsidRDefault="00C1027C" w:rsidP="00C1027C">
      <w:pPr>
        <w:pStyle w:val="BodyText"/>
        <w:spacing w:before="115"/>
        <w:ind w:left="840" w:right="569"/>
        <w:rPr>
          <w:color w:val="006FC0"/>
        </w:rPr>
      </w:pPr>
      <w:r w:rsidRPr="00C1027C">
        <w:rPr>
          <w:color w:val="006FC0"/>
        </w:rPr>
        <w:t xml:space="preserve">Installation costs of </w:t>
      </w:r>
      <w:r>
        <w:rPr>
          <w:color w:val="006FC0"/>
        </w:rPr>
        <w:t>b</w:t>
      </w:r>
      <w:r w:rsidRPr="00C1027C">
        <w:rPr>
          <w:color w:val="006FC0"/>
        </w:rPr>
        <w:t xml:space="preserve">ridges </w:t>
      </w:r>
      <w:r>
        <w:rPr>
          <w:color w:val="006FC0"/>
        </w:rPr>
        <w:t>and</w:t>
      </w:r>
      <w:r w:rsidRPr="00C1027C">
        <w:rPr>
          <w:color w:val="006FC0"/>
        </w:rPr>
        <w:t xml:space="preserve"> end stations </w:t>
      </w:r>
      <w:r>
        <w:rPr>
          <w:color w:val="006FC0"/>
        </w:rPr>
        <w:t xml:space="preserve">within the data center </w:t>
      </w:r>
      <w:r w:rsidRPr="00C1027C">
        <w:rPr>
          <w:color w:val="006FC0"/>
        </w:rPr>
        <w:t>are not expected to be significantly affected; any increase in network costs is expected to be more than offset by a reduction in the number of separate networks required.</w:t>
      </w:r>
      <w:r>
        <w:rPr>
          <w:color w:val="006FC0"/>
        </w:rPr>
        <w:t xml:space="preserve"> </w:t>
      </w:r>
      <w:bookmarkStart w:id="12" w:name="_Hlk100207391"/>
    </w:p>
    <w:p w14:paraId="7D728C36" w14:textId="42E4816E" w:rsidR="00CB779A" w:rsidRPr="001C274C" w:rsidRDefault="00765BD3" w:rsidP="001C274C">
      <w:pPr>
        <w:pStyle w:val="BodyText"/>
        <w:spacing w:before="115"/>
        <w:ind w:left="840" w:right="569"/>
        <w:rPr>
          <w:color w:val="006FC0"/>
        </w:rPr>
      </w:pPr>
      <w:r w:rsidRPr="001C274C">
        <w:rPr>
          <w:color w:val="006FC0"/>
        </w:rPr>
        <w:t xml:space="preserve">There are no incremental installation costs relative to </w:t>
      </w:r>
      <w:r>
        <w:rPr>
          <w:color w:val="006FC0"/>
        </w:rPr>
        <w:t xml:space="preserve">existing </w:t>
      </w:r>
      <w:r w:rsidR="00BB5A30">
        <w:rPr>
          <w:color w:val="006FC0"/>
        </w:rPr>
        <w:t>PFC</w:t>
      </w:r>
      <w:r>
        <w:rPr>
          <w:color w:val="006FC0"/>
        </w:rPr>
        <w:t xml:space="preserve"> and DCBX</w:t>
      </w:r>
      <w:r w:rsidRPr="001C274C">
        <w:rPr>
          <w:color w:val="006FC0"/>
        </w:rPr>
        <w:t xml:space="preserve"> that will be used by the proposed standard</w:t>
      </w:r>
      <w:bookmarkEnd w:id="12"/>
      <w:r w:rsidR="00CB779A" w:rsidRPr="001C274C">
        <w:rPr>
          <w:color w:val="006FC0"/>
        </w:rPr>
        <w:t xml:space="preserve">. </w:t>
      </w:r>
    </w:p>
    <w:p w14:paraId="39AF2500" w14:textId="56E52388" w:rsidR="00206451" w:rsidRDefault="00980132" w:rsidP="001C274C">
      <w:pPr>
        <w:pStyle w:val="BodyText"/>
        <w:numPr>
          <w:ilvl w:val="3"/>
          <w:numId w:val="2"/>
        </w:numPr>
        <w:spacing w:before="115"/>
        <w:ind w:right="569"/>
      </w:pPr>
      <w:r w:rsidRPr="001C274C">
        <w:rPr>
          <w:sz w:val="22"/>
        </w:rPr>
        <w:lastRenderedPageBreak/>
        <w:t>Consideration of operational costs (e.g., energy</w:t>
      </w:r>
      <w:r w:rsidRPr="001C274C">
        <w:rPr>
          <w:spacing w:val="-2"/>
          <w:sz w:val="22"/>
        </w:rPr>
        <w:t xml:space="preserve"> </w:t>
      </w:r>
      <w:r w:rsidRPr="001C274C">
        <w:rPr>
          <w:sz w:val="22"/>
        </w:rPr>
        <w:t>consumption).</w:t>
      </w:r>
    </w:p>
    <w:p w14:paraId="44601371" w14:textId="77777777" w:rsidR="00C1027C" w:rsidRDefault="00C1027C" w:rsidP="001C274C">
      <w:pPr>
        <w:ind w:left="840"/>
        <w:rPr>
          <w:color w:val="006FC0"/>
          <w:sz w:val="24"/>
          <w:szCs w:val="24"/>
        </w:rPr>
      </w:pPr>
    </w:p>
    <w:p w14:paraId="0B65E4B5" w14:textId="534620AB" w:rsidR="00F42CCC" w:rsidRPr="001C274C" w:rsidRDefault="00BB5A30" w:rsidP="001C274C">
      <w:pPr>
        <w:ind w:left="840"/>
        <w:rPr>
          <w:color w:val="006FC0"/>
          <w:sz w:val="24"/>
          <w:szCs w:val="24"/>
        </w:rPr>
      </w:pPr>
      <w:r w:rsidRPr="00BB5A30">
        <w:rPr>
          <w:color w:val="006FC0"/>
          <w:sz w:val="24"/>
          <w:szCs w:val="24"/>
        </w:rPr>
        <w:t xml:space="preserve">There are no incremental </w:t>
      </w:r>
      <w:r>
        <w:rPr>
          <w:color w:val="006FC0"/>
          <w:sz w:val="24"/>
          <w:szCs w:val="24"/>
        </w:rPr>
        <w:t>operational</w:t>
      </w:r>
      <w:r w:rsidRPr="00BB5A30">
        <w:rPr>
          <w:color w:val="006FC0"/>
          <w:sz w:val="24"/>
          <w:szCs w:val="24"/>
        </w:rPr>
        <w:t xml:space="preserve"> costs relative to existing PFC and DCBX that will be used by the proposed standard</w:t>
      </w:r>
      <w:r w:rsidR="00CB779A">
        <w:rPr>
          <w:color w:val="006FC0"/>
          <w:sz w:val="24"/>
          <w:szCs w:val="24"/>
        </w:rPr>
        <w:t xml:space="preserve">. </w:t>
      </w:r>
    </w:p>
    <w:p w14:paraId="16D23106" w14:textId="77777777" w:rsidR="00DC308C" w:rsidRDefault="00980132" w:rsidP="001C274C">
      <w:pPr>
        <w:pStyle w:val="BodyText"/>
        <w:numPr>
          <w:ilvl w:val="3"/>
          <w:numId w:val="2"/>
        </w:numPr>
        <w:spacing w:before="115"/>
        <w:ind w:right="569"/>
      </w:pPr>
      <w:r>
        <w:t>Other areas, as</w:t>
      </w:r>
      <w:r>
        <w:rPr>
          <w:spacing w:val="-3"/>
        </w:rPr>
        <w:t xml:space="preserve"> </w:t>
      </w:r>
      <w:r>
        <w:t>appropriate.</w:t>
      </w:r>
    </w:p>
    <w:p w14:paraId="2278080A" w14:textId="4C19C76F" w:rsidR="00206451" w:rsidRDefault="00206451" w:rsidP="001C274C">
      <w:pPr>
        <w:pStyle w:val="BodyText"/>
        <w:spacing w:before="115"/>
        <w:ind w:left="840" w:right="569"/>
      </w:pPr>
      <w:r>
        <w:rPr>
          <w:color w:val="006FC0"/>
        </w:rPr>
        <w:t>No other areas have been</w:t>
      </w:r>
      <w:r>
        <w:rPr>
          <w:color w:val="006FC0"/>
          <w:spacing w:val="-7"/>
        </w:rPr>
        <w:t xml:space="preserve"> </w:t>
      </w:r>
      <w:r>
        <w:rPr>
          <w:color w:val="006FC0"/>
        </w:rPr>
        <w:t>identified</w:t>
      </w:r>
      <w:r w:rsidR="00BC050A">
        <w:rPr>
          <w:color w:val="006FC0"/>
        </w:rPr>
        <w:t>.</w:t>
      </w:r>
    </w:p>
    <w:p w14:paraId="16D2310C" w14:textId="402598AF" w:rsidR="00DC308C" w:rsidRDefault="00DC308C" w:rsidP="001C274C">
      <w:pPr>
        <w:rPr>
          <w:sz w:val="24"/>
        </w:rPr>
      </w:pPr>
    </w:p>
    <w:sectPr w:rsidR="00DC308C">
      <w:pgSz w:w="12240" w:h="15840"/>
      <w:pgMar w:top="138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C9E4" w14:textId="77777777" w:rsidR="00F96169" w:rsidRDefault="00F96169" w:rsidP="007E573F">
      <w:r>
        <w:separator/>
      </w:r>
    </w:p>
  </w:endnote>
  <w:endnote w:type="continuationSeparator" w:id="0">
    <w:p w14:paraId="410DAFC2" w14:textId="77777777" w:rsidR="00F96169" w:rsidRDefault="00F96169" w:rsidP="007E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FCFF" w14:textId="77777777" w:rsidR="00F96169" w:rsidRDefault="00F96169" w:rsidP="007E573F">
      <w:r>
        <w:separator/>
      </w:r>
    </w:p>
  </w:footnote>
  <w:footnote w:type="continuationSeparator" w:id="0">
    <w:p w14:paraId="7558BA8D" w14:textId="77777777" w:rsidR="00F96169" w:rsidRDefault="00F96169" w:rsidP="007E5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76432"/>
    <w:multiLevelType w:val="multilevel"/>
    <w:tmpl w:val="D8143638"/>
    <w:lvl w:ilvl="0">
      <w:start w:val="1"/>
      <w:numFmt w:val="decimal"/>
      <w:lvlText w:val="%1."/>
      <w:lvlJc w:val="left"/>
      <w:pPr>
        <w:ind w:left="430" w:hanging="311"/>
      </w:pPr>
      <w:rPr>
        <w:rFonts w:ascii="Arial" w:eastAsia="Arial" w:hAnsi="Arial" w:cs="Arial" w:hint="default"/>
        <w:b/>
        <w:bCs/>
        <w:w w:val="99"/>
        <w:sz w:val="28"/>
        <w:szCs w:val="28"/>
        <w:lang w:val="en-US" w:eastAsia="en-US" w:bidi="ar-SA"/>
      </w:rPr>
    </w:lvl>
    <w:lvl w:ilvl="1">
      <w:start w:val="1"/>
      <w:numFmt w:val="decimal"/>
      <w:lvlText w:val="%1.%2"/>
      <w:lvlJc w:val="left"/>
      <w:pPr>
        <w:ind w:left="520" w:hanging="401"/>
      </w:pPr>
      <w:rPr>
        <w:rFonts w:ascii="Arial" w:eastAsia="Arial" w:hAnsi="Arial" w:cs="Arial" w:hint="default"/>
        <w:b/>
        <w:bCs/>
        <w:spacing w:val="-1"/>
        <w:w w:val="100"/>
        <w:sz w:val="24"/>
        <w:szCs w:val="24"/>
        <w:lang w:val="en-US" w:eastAsia="en-US" w:bidi="ar-SA"/>
      </w:rPr>
    </w:lvl>
    <w:lvl w:ilvl="2">
      <w:start w:val="1"/>
      <w:numFmt w:val="decimal"/>
      <w:lvlText w:val="%1.%2.%3"/>
      <w:lvlJc w:val="left"/>
      <w:pPr>
        <w:ind w:left="720" w:hanging="600"/>
      </w:pPr>
      <w:rPr>
        <w:rFonts w:ascii="Arial" w:eastAsia="Arial" w:hAnsi="Arial" w:cs="Arial" w:hint="default"/>
        <w:spacing w:val="-1"/>
        <w:w w:val="100"/>
        <w:sz w:val="24"/>
        <w:szCs w:val="24"/>
        <w:lang w:val="en-US" w:eastAsia="en-US" w:bidi="ar-SA"/>
      </w:rPr>
    </w:lvl>
    <w:lvl w:ilvl="3">
      <w:start w:val="1"/>
      <w:numFmt w:val="lowerLetter"/>
      <w:lvlText w:val="%4)"/>
      <w:lvlJc w:val="left"/>
      <w:pPr>
        <w:ind w:left="840"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2088" w:hanging="360"/>
      </w:pPr>
      <w:rPr>
        <w:rFonts w:hint="default"/>
        <w:lang w:val="en-US" w:eastAsia="en-US" w:bidi="ar-SA"/>
      </w:rPr>
    </w:lvl>
    <w:lvl w:ilvl="5">
      <w:numFmt w:val="bullet"/>
      <w:lvlText w:val="•"/>
      <w:lvlJc w:val="left"/>
      <w:pPr>
        <w:ind w:left="3337" w:hanging="360"/>
      </w:pPr>
      <w:rPr>
        <w:rFonts w:hint="default"/>
        <w:lang w:val="en-US" w:eastAsia="en-US" w:bidi="ar-SA"/>
      </w:rPr>
    </w:lvl>
    <w:lvl w:ilvl="6">
      <w:numFmt w:val="bullet"/>
      <w:lvlText w:val="•"/>
      <w:lvlJc w:val="left"/>
      <w:pPr>
        <w:ind w:left="4585" w:hanging="360"/>
      </w:pPr>
      <w:rPr>
        <w:rFonts w:hint="default"/>
        <w:lang w:val="en-US" w:eastAsia="en-US" w:bidi="ar-SA"/>
      </w:rPr>
    </w:lvl>
    <w:lvl w:ilvl="7">
      <w:numFmt w:val="bullet"/>
      <w:lvlText w:val="•"/>
      <w:lvlJc w:val="left"/>
      <w:pPr>
        <w:ind w:left="5834" w:hanging="360"/>
      </w:pPr>
      <w:rPr>
        <w:rFonts w:hint="default"/>
        <w:lang w:val="en-US" w:eastAsia="en-US" w:bidi="ar-SA"/>
      </w:rPr>
    </w:lvl>
    <w:lvl w:ilvl="8">
      <w:numFmt w:val="bullet"/>
      <w:lvlText w:val="•"/>
      <w:lvlJc w:val="left"/>
      <w:pPr>
        <w:ind w:left="7082" w:hanging="360"/>
      </w:pPr>
      <w:rPr>
        <w:rFonts w:hint="default"/>
        <w:lang w:val="en-US" w:eastAsia="en-US" w:bidi="ar-SA"/>
      </w:rPr>
    </w:lvl>
  </w:abstractNum>
  <w:abstractNum w:abstractNumId="1" w15:restartNumberingAfterBreak="0">
    <w:nsid w:val="18A52863"/>
    <w:multiLevelType w:val="hybridMultilevel"/>
    <w:tmpl w:val="2D08E8C6"/>
    <w:lvl w:ilvl="0" w:tplc="B22021AE">
      <w:start w:val="4"/>
      <w:numFmt w:val="lowerLetter"/>
      <w:lvlText w:val="%1)"/>
      <w:lvlJc w:val="left"/>
      <w:pPr>
        <w:ind w:left="840" w:hanging="360"/>
      </w:pPr>
      <w:rPr>
        <w:rFonts w:ascii="Times New Roman" w:eastAsia="Times New Roman" w:hAnsi="Times New Roman" w:cs="Times New Roman" w:hint="default"/>
        <w:w w:val="100"/>
        <w:sz w:val="24"/>
        <w:szCs w:val="24"/>
        <w:lang w:val="en-US" w:eastAsia="en-US" w:bidi="ar-SA"/>
      </w:rPr>
    </w:lvl>
    <w:lvl w:ilvl="1" w:tplc="75FA5176">
      <w:start w:val="5"/>
      <w:numFmt w:val="lowerLetter"/>
      <w:lvlText w:val="%2)"/>
      <w:lvlJc w:val="left"/>
      <w:pPr>
        <w:ind w:left="945" w:hanging="360"/>
        <w:jc w:val="right"/>
      </w:pPr>
      <w:rPr>
        <w:rFonts w:hint="default"/>
        <w:spacing w:val="-1"/>
        <w:w w:val="99"/>
        <w:lang w:val="en-US" w:eastAsia="en-US" w:bidi="ar-SA"/>
      </w:rPr>
    </w:lvl>
    <w:lvl w:ilvl="2" w:tplc="A97EBD68">
      <w:start w:val="6"/>
      <w:numFmt w:val="lowerLetter"/>
      <w:lvlText w:val="%3)"/>
      <w:lvlJc w:val="left"/>
      <w:pPr>
        <w:ind w:left="945" w:hanging="360"/>
        <w:jc w:val="right"/>
      </w:pPr>
      <w:rPr>
        <w:rFonts w:hint="default"/>
        <w:spacing w:val="-1"/>
        <w:w w:val="99"/>
        <w:lang w:val="en-US" w:eastAsia="en-US" w:bidi="ar-SA"/>
      </w:rPr>
    </w:lvl>
    <w:lvl w:ilvl="3" w:tplc="D1C04CC4">
      <w:start w:val="10"/>
      <w:numFmt w:val="lowerLetter"/>
      <w:lvlText w:val="%4)"/>
      <w:lvlJc w:val="left"/>
      <w:pPr>
        <w:ind w:left="945" w:hanging="360"/>
        <w:jc w:val="right"/>
      </w:pPr>
      <w:rPr>
        <w:rFonts w:hint="default"/>
        <w:spacing w:val="-1"/>
        <w:w w:val="99"/>
        <w:lang w:val="en-US" w:eastAsia="en-US" w:bidi="ar-SA"/>
      </w:rPr>
    </w:lvl>
    <w:lvl w:ilvl="4" w:tplc="5E18494C">
      <w:start w:val="12"/>
      <w:numFmt w:val="lowerLetter"/>
      <w:lvlText w:val="%5)"/>
      <w:lvlJc w:val="left"/>
      <w:pPr>
        <w:ind w:left="945" w:hanging="360"/>
      </w:pPr>
      <w:rPr>
        <w:rFonts w:ascii="Times New Roman" w:eastAsia="Times New Roman" w:hAnsi="Times New Roman" w:cs="Times New Roman" w:hint="default"/>
        <w:color w:val="006FC0"/>
        <w:spacing w:val="-1"/>
        <w:w w:val="99"/>
        <w:sz w:val="24"/>
        <w:szCs w:val="24"/>
        <w:lang w:val="en-US" w:eastAsia="en-US" w:bidi="ar-SA"/>
      </w:rPr>
    </w:lvl>
    <w:lvl w:ilvl="5" w:tplc="41B896E2">
      <w:numFmt w:val="bullet"/>
      <w:lvlText w:val="•"/>
      <w:lvlJc w:val="left"/>
      <w:pPr>
        <w:ind w:left="4780" w:hanging="360"/>
      </w:pPr>
      <w:rPr>
        <w:rFonts w:hint="default"/>
        <w:lang w:val="en-US" w:eastAsia="en-US" w:bidi="ar-SA"/>
      </w:rPr>
    </w:lvl>
    <w:lvl w:ilvl="6" w:tplc="DB3AC970">
      <w:numFmt w:val="bullet"/>
      <w:lvlText w:val="•"/>
      <w:lvlJc w:val="left"/>
      <w:pPr>
        <w:ind w:left="5740" w:hanging="360"/>
      </w:pPr>
      <w:rPr>
        <w:rFonts w:hint="default"/>
        <w:lang w:val="en-US" w:eastAsia="en-US" w:bidi="ar-SA"/>
      </w:rPr>
    </w:lvl>
    <w:lvl w:ilvl="7" w:tplc="62A4C90A">
      <w:numFmt w:val="bullet"/>
      <w:lvlText w:val="•"/>
      <w:lvlJc w:val="left"/>
      <w:pPr>
        <w:ind w:left="6700" w:hanging="360"/>
      </w:pPr>
      <w:rPr>
        <w:rFonts w:hint="default"/>
        <w:lang w:val="en-US" w:eastAsia="en-US" w:bidi="ar-SA"/>
      </w:rPr>
    </w:lvl>
    <w:lvl w:ilvl="8" w:tplc="09427E64">
      <w:numFmt w:val="bullet"/>
      <w:lvlText w:val="•"/>
      <w:lvlJc w:val="left"/>
      <w:pPr>
        <w:ind w:left="7660" w:hanging="360"/>
      </w:pPr>
      <w:rPr>
        <w:rFonts w:hint="default"/>
        <w:lang w:val="en-US" w:eastAsia="en-US" w:bidi="ar-SA"/>
      </w:rPr>
    </w:lvl>
  </w:abstractNum>
  <w:abstractNum w:abstractNumId="2" w15:restartNumberingAfterBreak="0">
    <w:nsid w:val="226C3B38"/>
    <w:multiLevelType w:val="hybridMultilevel"/>
    <w:tmpl w:val="02B06D6A"/>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41F463D7"/>
    <w:multiLevelType w:val="hybridMultilevel"/>
    <w:tmpl w:val="66E60448"/>
    <w:lvl w:ilvl="0" w:tplc="F474C43A">
      <w:start w:val="1"/>
      <w:numFmt w:val="lowerLetter"/>
      <w:lvlText w:val="%1)"/>
      <w:lvlJc w:val="left"/>
      <w:pPr>
        <w:ind w:left="840" w:hanging="360"/>
      </w:pPr>
      <w:rPr>
        <w:rFonts w:ascii="Times New Roman" w:eastAsia="SimSun" w:hAnsi="Times New Roman" w:cs="Times New Roman" w:hint="default"/>
        <w:w w:val="100"/>
        <w:sz w:val="24"/>
        <w:szCs w:val="24"/>
      </w:rPr>
    </w:lvl>
    <w:lvl w:ilvl="1" w:tplc="04090019">
      <w:start w:val="1"/>
      <w:numFmt w:val="lowerLetter"/>
      <w:lvlText w:val="%2)"/>
      <w:lvlJc w:val="left"/>
      <w:pPr>
        <w:ind w:left="840" w:hanging="420"/>
      </w:pPr>
    </w:lvl>
    <w:lvl w:ilvl="2" w:tplc="04090019">
      <w:start w:val="1"/>
      <w:numFmt w:val="lowerLetter"/>
      <w:lvlText w:val="%3)"/>
      <w:lvlJc w:val="left"/>
      <w:pPr>
        <w:ind w:left="1260" w:hanging="420"/>
      </w:pPr>
    </w:lvl>
    <w:lvl w:ilvl="3" w:tplc="04090019">
      <w:start w:val="1"/>
      <w:numFmt w:val="lowerLetter"/>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03912042">
    <w:abstractNumId w:val="1"/>
  </w:num>
  <w:num w:numId="2" w16cid:durableId="34235855">
    <w:abstractNumId w:val="0"/>
  </w:num>
  <w:num w:numId="3" w16cid:durableId="1818572181">
    <w:abstractNumId w:val="3"/>
  </w:num>
  <w:num w:numId="4" w16cid:durableId="1233347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08C"/>
    <w:rsid w:val="00057EEC"/>
    <w:rsid w:val="000773F3"/>
    <w:rsid w:val="000944AA"/>
    <w:rsid w:val="00097ADC"/>
    <w:rsid w:val="00197E11"/>
    <w:rsid w:val="001C274C"/>
    <w:rsid w:val="00206451"/>
    <w:rsid w:val="00223215"/>
    <w:rsid w:val="00241453"/>
    <w:rsid w:val="00242E53"/>
    <w:rsid w:val="00305395"/>
    <w:rsid w:val="00331F35"/>
    <w:rsid w:val="00372368"/>
    <w:rsid w:val="0037489A"/>
    <w:rsid w:val="00406D44"/>
    <w:rsid w:val="0041580F"/>
    <w:rsid w:val="004265A7"/>
    <w:rsid w:val="004631E0"/>
    <w:rsid w:val="005D338F"/>
    <w:rsid w:val="00703888"/>
    <w:rsid w:val="007161A8"/>
    <w:rsid w:val="00726301"/>
    <w:rsid w:val="00765BD3"/>
    <w:rsid w:val="007B1601"/>
    <w:rsid w:val="007E573F"/>
    <w:rsid w:val="007F5ED2"/>
    <w:rsid w:val="00832844"/>
    <w:rsid w:val="00836423"/>
    <w:rsid w:val="00850ADD"/>
    <w:rsid w:val="00851583"/>
    <w:rsid w:val="00897278"/>
    <w:rsid w:val="00925713"/>
    <w:rsid w:val="00937AAC"/>
    <w:rsid w:val="00980132"/>
    <w:rsid w:val="009C29CC"/>
    <w:rsid w:val="00A058C2"/>
    <w:rsid w:val="00A1297A"/>
    <w:rsid w:val="00A66073"/>
    <w:rsid w:val="00AB7E18"/>
    <w:rsid w:val="00B01C48"/>
    <w:rsid w:val="00B611EB"/>
    <w:rsid w:val="00B811D2"/>
    <w:rsid w:val="00BB5A30"/>
    <w:rsid w:val="00BC050A"/>
    <w:rsid w:val="00BE47BA"/>
    <w:rsid w:val="00C1027C"/>
    <w:rsid w:val="00C60CE7"/>
    <w:rsid w:val="00C92C7E"/>
    <w:rsid w:val="00CB779A"/>
    <w:rsid w:val="00CE6F6C"/>
    <w:rsid w:val="00D01A8A"/>
    <w:rsid w:val="00D33C2A"/>
    <w:rsid w:val="00D93F5E"/>
    <w:rsid w:val="00DC308C"/>
    <w:rsid w:val="00E15A13"/>
    <w:rsid w:val="00E50567"/>
    <w:rsid w:val="00E64A46"/>
    <w:rsid w:val="00EB14E8"/>
    <w:rsid w:val="00F12662"/>
    <w:rsid w:val="00F42CCC"/>
    <w:rsid w:val="00F457A8"/>
    <w:rsid w:val="00F96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230C5"/>
  <w15:docId w15:val="{13C3E96B-CE33-4A0D-B6C8-AE91A8D3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20" w:hanging="401"/>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5"/>
      <w:ind w:left="94" w:right="86"/>
      <w:jc w:val="center"/>
    </w:pPr>
    <w:rPr>
      <w:b/>
      <w:bCs/>
      <w:sz w:val="36"/>
      <w:szCs w:val="36"/>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2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C7E"/>
    <w:rPr>
      <w:rFonts w:ascii="Segoe UI" w:eastAsia="Times New Roman" w:hAnsi="Segoe UI" w:cs="Segoe UI"/>
      <w:sz w:val="18"/>
      <w:szCs w:val="18"/>
    </w:rPr>
  </w:style>
  <w:style w:type="paragraph" w:styleId="Header">
    <w:name w:val="header"/>
    <w:basedOn w:val="Normal"/>
    <w:link w:val="HeaderChar"/>
    <w:uiPriority w:val="99"/>
    <w:unhideWhenUsed/>
    <w:rsid w:val="007E57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E573F"/>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7E573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7E573F"/>
    <w:rPr>
      <w:rFonts w:ascii="Times New Roman" w:eastAsia="Times New Roman" w:hAnsi="Times New Roman" w:cs="Times New Roman"/>
      <w:sz w:val="18"/>
      <w:szCs w:val="18"/>
    </w:rPr>
  </w:style>
  <w:style w:type="paragraph" w:styleId="NormalWeb">
    <w:name w:val="Normal (Web)"/>
    <w:basedOn w:val="Normal"/>
    <w:uiPriority w:val="99"/>
    <w:semiHidden/>
    <w:unhideWhenUsed/>
    <w:rsid w:val="00305395"/>
    <w:pPr>
      <w:widowControl/>
      <w:autoSpaceDE/>
      <w:autoSpaceDN/>
      <w:spacing w:before="100" w:beforeAutospacing="1" w:after="100" w:afterAutospacing="1"/>
    </w:pPr>
    <w:rPr>
      <w:rFonts w:ascii="SimSun" w:eastAsia="SimSun" w:hAnsi="SimSun" w:cs="SimSun"/>
      <w:sz w:val="24"/>
      <w:szCs w:val="24"/>
      <w:lang w:eastAsia="zh-CN"/>
    </w:rPr>
  </w:style>
  <w:style w:type="paragraph" w:styleId="Revision">
    <w:name w:val="Revision"/>
    <w:hidden/>
    <w:uiPriority w:val="99"/>
    <w:semiHidden/>
    <w:rsid w:val="00836423"/>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5671">
      <w:bodyDiv w:val="1"/>
      <w:marLeft w:val="0"/>
      <w:marRight w:val="0"/>
      <w:marTop w:val="0"/>
      <w:marBottom w:val="0"/>
      <w:divBdr>
        <w:top w:val="none" w:sz="0" w:space="0" w:color="auto"/>
        <w:left w:val="none" w:sz="0" w:space="0" w:color="auto"/>
        <w:bottom w:val="none" w:sz="0" w:space="0" w:color="auto"/>
        <w:right w:val="none" w:sz="0" w:space="0" w:color="auto"/>
      </w:divBdr>
    </w:div>
    <w:div w:id="375466406">
      <w:bodyDiv w:val="1"/>
      <w:marLeft w:val="0"/>
      <w:marRight w:val="0"/>
      <w:marTop w:val="0"/>
      <w:marBottom w:val="0"/>
      <w:divBdr>
        <w:top w:val="none" w:sz="0" w:space="0" w:color="auto"/>
        <w:left w:val="none" w:sz="0" w:space="0" w:color="auto"/>
        <w:bottom w:val="none" w:sz="0" w:space="0" w:color="auto"/>
        <w:right w:val="none" w:sz="0" w:space="0" w:color="auto"/>
      </w:divBdr>
    </w:div>
    <w:div w:id="536624997">
      <w:bodyDiv w:val="1"/>
      <w:marLeft w:val="0"/>
      <w:marRight w:val="0"/>
      <w:marTop w:val="0"/>
      <w:marBottom w:val="0"/>
      <w:divBdr>
        <w:top w:val="none" w:sz="0" w:space="0" w:color="auto"/>
        <w:left w:val="none" w:sz="0" w:space="0" w:color="auto"/>
        <w:bottom w:val="none" w:sz="0" w:space="0" w:color="auto"/>
        <w:right w:val="none" w:sz="0" w:space="0" w:color="auto"/>
      </w:divBdr>
    </w:div>
    <w:div w:id="603616381">
      <w:bodyDiv w:val="1"/>
      <w:marLeft w:val="0"/>
      <w:marRight w:val="0"/>
      <w:marTop w:val="0"/>
      <w:marBottom w:val="0"/>
      <w:divBdr>
        <w:top w:val="none" w:sz="0" w:space="0" w:color="auto"/>
        <w:left w:val="none" w:sz="0" w:space="0" w:color="auto"/>
        <w:bottom w:val="none" w:sz="0" w:space="0" w:color="auto"/>
        <w:right w:val="none" w:sz="0" w:space="0" w:color="auto"/>
      </w:divBdr>
    </w:div>
    <w:div w:id="855073898">
      <w:bodyDiv w:val="1"/>
      <w:marLeft w:val="0"/>
      <w:marRight w:val="0"/>
      <w:marTop w:val="0"/>
      <w:marBottom w:val="0"/>
      <w:divBdr>
        <w:top w:val="none" w:sz="0" w:space="0" w:color="auto"/>
        <w:left w:val="none" w:sz="0" w:space="0" w:color="auto"/>
        <w:bottom w:val="none" w:sz="0" w:space="0" w:color="auto"/>
        <w:right w:val="none" w:sz="0" w:space="0" w:color="auto"/>
      </w:divBdr>
    </w:div>
    <w:div w:id="1205949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1101</TotalTime>
  <Pages>1</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P802.1DP draft CSD</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P802.1DP draft CSD</dc:title>
  <dc:creator>Lvyunping (Lily)</dc:creator>
  <cp:lastModifiedBy>Paul Congdon</cp:lastModifiedBy>
  <cp:revision>12</cp:revision>
  <dcterms:created xsi:type="dcterms:W3CDTF">2022-04-06T01:45:00Z</dcterms:created>
  <dcterms:modified xsi:type="dcterms:W3CDTF">2022-04-14T23:31:00Z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Acrobat PDFMaker 20 for Word</vt:lpwstr>
  </property>
  <property fmtid="{D5CDD505-2E9C-101B-9397-08002B2CF9AE}" pid="4" name="LastSaved">
    <vt:filetime>2020-11-05T00:00:00Z</vt:filetime>
  </property>
  <property fmtid="{D5CDD505-2E9C-101B-9397-08002B2CF9AE}" pid="5" name="_2015_ms_pID_725343">
    <vt:lpwstr>(3)xVEJq8/1wpJjfVtZeexOw8Y3JbAwtUtnnTXe7AixaDb5sOXyB3ox5T45xeIcY8sPICC7JpXs
qw7H9oyxNtd+PnlSQ4wYn86Ms0YgbJsEhC9PgpUQvjneI8d/TdqQF0CH05fEUTwhT0/W2epB
XX7mb2EnR7wWLI8u4CW4Acm0kBj1mXkSNGbbpMr6XmOf5vVC+Jz1wBcNaFPNpOYMr4GqevsE
V0JZikwfrIBXd6Vwmn</vt:lpwstr>
  </property>
  <property fmtid="{D5CDD505-2E9C-101B-9397-08002B2CF9AE}" pid="6" name="_2015_ms_pID_7253431">
    <vt:lpwstr>26R979dMnPdBy4ch0onbdF+vVHZuPo7i1EkSJdwLBWHIApkKOTvSB9
AyO8x+QDvO6lmoF5CqJzKxP4yAXYtMrs8htMWtdpcCB/kswzDV408ZLZaGujLyoASg8Y1Whw
nO7PWCD96VwoAj8XqA6pHM7qqvFa+4nLnCPfImJZIoWxR5jmkWBuWH1l19puT4C+UvONlUwV
SHTCMi3htH2j+8lGKoxDOZK0Pg0XDQLnoWWv</vt:lpwstr>
  </property>
  <property fmtid="{D5CDD505-2E9C-101B-9397-08002B2CF9AE}" pid="7" name="_2015_ms_pID_7253432">
    <vt:lpwstr>cXqcuHkpLxqpUIgzXykm7fY=</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1642594062</vt:lpwstr>
  </property>
</Properties>
</file>