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B94" w:rsidRDefault="005E178B">
      <w:r>
        <w:t xml:space="preserve"> </w:t>
      </w:r>
    </w:p>
    <w:tbl>
      <w:tblPr>
        <w:tblpPr w:leftFromText="180" w:rightFromText="180" w:horzAnchor="margin" w:tblpY="-687"/>
        <w:tblW w:w="10031" w:type="dxa"/>
        <w:tblLayout w:type="fixed"/>
        <w:tblLook w:val="000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18030A" w:rsidP="00EC4179">
            <w:pPr>
              <w:shd w:val="solid" w:color="FFFFFF" w:fill="FFFFFF"/>
              <w:spacing w:before="0" w:line="240" w:lineRule="atLeast"/>
            </w:pPr>
            <w:bookmarkStart w:id="0" w:name="ditulogo"/>
            <w:bookmarkEnd w:id="0"/>
            <w:r>
              <w:rPr>
                <w:noProof/>
                <w:lang w:eastAsia="zh-CN"/>
              </w:rPr>
              <w:drawing>
                <wp:inline distT="0" distB="0" distL="0" distR="0">
                  <wp:extent cx="1765300" cy="74295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765300" cy="74295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Default="00E763C7" w:rsidP="00E763C7">
            <w:pPr>
              <w:shd w:val="solid" w:color="FFFFFF" w:fill="FFFFFF"/>
              <w:spacing w:before="0" w:after="48"/>
              <w:rPr>
                <w:rFonts w:ascii="Verdana" w:hAnsi="Verdana" w:cs="Times New Roman Bold"/>
                <w:b/>
                <w:sz w:val="22"/>
                <w:szCs w:val="22"/>
              </w:rPr>
            </w:pPr>
            <w:r>
              <w:rPr>
                <w:rFonts w:ascii="Verdana" w:hAnsi="Verdana" w:cs="Times New Roman Bold"/>
                <w:b/>
                <w:sz w:val="22"/>
                <w:szCs w:val="22"/>
              </w:rPr>
              <w:t>9</w:t>
            </w:r>
            <w:r w:rsidRPr="00E763C7">
              <w:rPr>
                <w:rFonts w:ascii="Verdana" w:hAnsi="Verdana" w:cs="Times New Roman Bold"/>
                <w:b/>
                <w:bCs/>
                <w:sz w:val="22"/>
                <w:szCs w:val="22"/>
                <w:vertAlign w:val="superscript"/>
              </w:rPr>
              <w:t>th</w:t>
            </w:r>
            <w:r>
              <w:rPr>
                <w:rFonts w:ascii="Verdana" w:hAnsi="Verdana" w:cs="Times New Roman Bold"/>
                <w:b/>
                <w:sz w:val="22"/>
                <w:szCs w:val="22"/>
              </w:rPr>
              <w:t xml:space="preserve"> M</w:t>
            </w:r>
            <w:r w:rsidR="00EC4179">
              <w:rPr>
                <w:rFonts w:ascii="Verdana" w:hAnsi="Verdana" w:cs="Times New Roman Bold"/>
                <w:b/>
                <w:sz w:val="22"/>
                <w:szCs w:val="22"/>
              </w:rPr>
              <w:t>eeting</w:t>
            </w:r>
            <w:r w:rsidR="0034710B">
              <w:rPr>
                <w:rFonts w:ascii="Verdana" w:hAnsi="Verdana" w:cs="Times New Roman Bold"/>
                <w:b/>
                <w:sz w:val="22"/>
                <w:szCs w:val="22"/>
              </w:rPr>
              <w:t xml:space="preserve"> of Working Part</w:t>
            </w:r>
            <w:r>
              <w:rPr>
                <w:rFonts w:ascii="Verdana" w:hAnsi="Verdana" w:cs="Times New Roman Bold"/>
                <w:b/>
                <w:sz w:val="22"/>
                <w:szCs w:val="22"/>
              </w:rPr>
              <w:t>y</w:t>
            </w:r>
            <w:r w:rsidR="00EC4179">
              <w:rPr>
                <w:rFonts w:ascii="Verdana" w:hAnsi="Verdana" w:cs="Times New Roman Bold"/>
                <w:b/>
                <w:sz w:val="22"/>
                <w:szCs w:val="22"/>
              </w:rPr>
              <w:t xml:space="preserve"> </w:t>
            </w:r>
            <w:r>
              <w:rPr>
                <w:rFonts w:ascii="Verdana" w:hAnsi="Verdana" w:cs="Times New Roman Bold"/>
                <w:b/>
                <w:sz w:val="22"/>
                <w:szCs w:val="22"/>
              </w:rPr>
              <w:t>5D</w:t>
            </w:r>
          </w:p>
          <w:p w:rsidR="00EC4179" w:rsidRPr="0051782D" w:rsidRDefault="00E763C7" w:rsidP="00E763C7">
            <w:pPr>
              <w:shd w:val="solid" w:color="FFFFFF" w:fill="FFFFFF"/>
              <w:spacing w:before="0" w:after="48"/>
              <w:rPr>
                <w:rFonts w:ascii="Verdana" w:hAnsi="Verdana" w:cs="Times New Roman Bold"/>
                <w:b/>
                <w:sz w:val="22"/>
                <w:szCs w:val="22"/>
              </w:rPr>
            </w:pPr>
            <w:r>
              <w:rPr>
                <w:rFonts w:ascii="Verdana" w:hAnsi="Verdana" w:cs="Times New Roman Bold"/>
                <w:b/>
                <w:sz w:val="22"/>
                <w:szCs w:val="22"/>
              </w:rPr>
              <w:t>Chongqing</w:t>
            </w:r>
            <w:r w:rsidR="00EC4179">
              <w:rPr>
                <w:rFonts w:ascii="Verdana" w:hAnsi="Verdana" w:cs="Times New Roman Bold"/>
                <w:b/>
                <w:sz w:val="22"/>
                <w:szCs w:val="22"/>
              </w:rPr>
              <w:t xml:space="preserve">, </w:t>
            </w:r>
            <w:r>
              <w:rPr>
                <w:rFonts w:ascii="Verdana" w:hAnsi="Verdana" w:cs="Times New Roman Bold"/>
                <w:b/>
                <w:sz w:val="22"/>
                <w:szCs w:val="22"/>
              </w:rPr>
              <w:t>China</w:t>
            </w:r>
            <w:r w:rsidR="00EC4179">
              <w:rPr>
                <w:rFonts w:ascii="Verdana" w:hAnsi="Verdana" w:cs="Times New Roman Bold"/>
                <w:b/>
                <w:sz w:val="22"/>
                <w:szCs w:val="22"/>
              </w:rPr>
              <w:t>, 1</w:t>
            </w:r>
            <w:r>
              <w:rPr>
                <w:rFonts w:ascii="Verdana" w:hAnsi="Verdana" w:cs="Times New Roman Bold"/>
                <w:b/>
                <w:sz w:val="22"/>
                <w:szCs w:val="22"/>
              </w:rPr>
              <w:t>3–20</w:t>
            </w:r>
            <w:r w:rsidR="0034710B">
              <w:rPr>
                <w:rFonts w:ascii="Verdana" w:hAnsi="Verdana" w:cs="Times New Roman Bold"/>
                <w:b/>
                <w:sz w:val="22"/>
                <w:szCs w:val="22"/>
              </w:rPr>
              <w:t xml:space="preserve"> </w:t>
            </w:r>
            <w:r>
              <w:rPr>
                <w:rFonts w:ascii="Verdana" w:hAnsi="Verdana" w:cs="Times New Roman Bold"/>
                <w:b/>
                <w:sz w:val="22"/>
                <w:szCs w:val="22"/>
              </w:rPr>
              <w:t>October</w:t>
            </w:r>
            <w:r w:rsidR="0034710B">
              <w:rPr>
                <w:rFonts w:ascii="Verdana" w:hAnsi="Verdana" w:cs="Times New Roman Bold"/>
                <w:b/>
                <w:sz w:val="22"/>
                <w:szCs w:val="22"/>
              </w:rPr>
              <w:t xml:space="preserve"> </w:t>
            </w:r>
            <w:r w:rsidR="00EC4179">
              <w:rPr>
                <w:rFonts w:ascii="Verdana" w:hAnsi="Verdana" w:cs="Times New Roman Bold"/>
                <w:b/>
                <w:sz w:val="22"/>
                <w:szCs w:val="22"/>
              </w:rPr>
              <w:t>2010</w:t>
            </w: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0069D4" w:rsidRPr="00982084" w:rsidRDefault="00EC439A" w:rsidP="00EC4179">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rsidRPr="00EC439A">
              <w:rPr>
                <w:rFonts w:ascii="Verdana" w:hAnsi="Verdana"/>
                <w:sz w:val="20"/>
              </w:rPr>
              <w:t xml:space="preserve">: </w:t>
            </w:r>
            <w:r w:rsidRPr="00EC439A">
              <w:rPr>
                <w:rFonts w:ascii="Verdana" w:hAnsi="Verdana"/>
                <w:sz w:val="20"/>
                <w:lang w:eastAsia="zh-CN"/>
              </w:rPr>
              <w:t xml:space="preserve"> Document 5D/TEMP/406</w:t>
            </w:r>
          </w:p>
        </w:tc>
        <w:tc>
          <w:tcPr>
            <w:tcW w:w="3451" w:type="dxa"/>
          </w:tcPr>
          <w:p w:rsidR="000069D4" w:rsidRPr="00EC4179" w:rsidRDefault="000069D4" w:rsidP="00F97C5B">
            <w:pPr>
              <w:shd w:val="solid" w:color="FFFFFF" w:fill="FFFFFF"/>
              <w:spacing w:before="0" w:line="240" w:lineRule="atLeast"/>
              <w:rPr>
                <w:rFonts w:ascii="Verdana" w:hAnsi="Verdana"/>
                <w:sz w:val="20"/>
                <w:lang w:eastAsia="zh-CN"/>
              </w:rPr>
            </w:pPr>
          </w:p>
        </w:tc>
      </w:tr>
      <w:tr w:rsidR="000069D4">
        <w:trPr>
          <w:cantSplit/>
        </w:trPr>
        <w:tc>
          <w:tcPr>
            <w:tcW w:w="6580" w:type="dxa"/>
            <w:vMerge/>
          </w:tcPr>
          <w:p w:rsidR="000069D4" w:rsidRDefault="000069D4" w:rsidP="00A5173C">
            <w:pPr>
              <w:spacing w:before="60"/>
              <w:jc w:val="center"/>
              <w:rPr>
                <w:b/>
                <w:smallCaps/>
                <w:sz w:val="32"/>
                <w:lang w:eastAsia="zh-CN"/>
              </w:rPr>
            </w:pPr>
            <w:bookmarkStart w:id="3" w:name="ddate" w:colFirst="1" w:colLast="1"/>
            <w:bookmarkEnd w:id="2"/>
          </w:p>
        </w:tc>
        <w:tc>
          <w:tcPr>
            <w:tcW w:w="3451" w:type="dxa"/>
          </w:tcPr>
          <w:p w:rsidR="000069D4" w:rsidRPr="00EC4179" w:rsidRDefault="00EC439A" w:rsidP="00A5173C">
            <w:pPr>
              <w:shd w:val="solid" w:color="FFFFFF" w:fill="FFFFFF"/>
              <w:spacing w:before="0" w:line="240" w:lineRule="atLeast"/>
              <w:rPr>
                <w:rFonts w:ascii="Verdana" w:hAnsi="Verdana"/>
                <w:sz w:val="20"/>
                <w:lang w:eastAsia="zh-CN"/>
              </w:rPr>
            </w:pPr>
            <w:r>
              <w:rPr>
                <w:rFonts w:ascii="Verdana" w:hAnsi="Verdana"/>
                <w:b/>
                <w:sz w:val="20"/>
                <w:lang w:eastAsia="zh-CN"/>
              </w:rPr>
              <w:t>12 November</w:t>
            </w:r>
            <w:r w:rsidR="00E763C7">
              <w:rPr>
                <w:rFonts w:ascii="Verdana" w:hAnsi="Verdana"/>
                <w:b/>
                <w:sz w:val="20"/>
                <w:lang w:eastAsia="zh-CN"/>
              </w:rPr>
              <w:t xml:space="preserve"> </w:t>
            </w:r>
            <w:r w:rsidR="00EC4179">
              <w:rPr>
                <w:rFonts w:ascii="Verdana" w:hAnsi="Verdana"/>
                <w:b/>
                <w:sz w:val="20"/>
                <w:lang w:eastAsia="zh-CN"/>
              </w:rPr>
              <w:t>2010</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F97C5B" w:rsidRDefault="00F97C5B" w:rsidP="00A5173C">
            <w:pPr>
              <w:shd w:val="solid" w:color="FFFFFF" w:fill="FFFFFF"/>
              <w:spacing w:before="0" w:line="240" w:lineRule="atLeast"/>
              <w:rPr>
                <w:rFonts w:ascii="Verdana" w:eastAsia="SimSun" w:hAnsi="Verdana"/>
                <w:b/>
                <w:bCs/>
                <w:sz w:val="20"/>
                <w:lang w:eastAsia="zh-CN"/>
              </w:rPr>
            </w:pPr>
            <w:r w:rsidRPr="00F97C5B">
              <w:rPr>
                <w:rFonts w:ascii="Verdana" w:eastAsia="SimSun" w:hAnsi="Verdana"/>
                <w:b/>
                <w:bCs/>
                <w:sz w:val="20"/>
                <w:lang w:eastAsia="zh-CN"/>
              </w:rPr>
              <w:t>English only</w:t>
            </w:r>
          </w:p>
        </w:tc>
      </w:tr>
      <w:tr w:rsidR="000069D4">
        <w:trPr>
          <w:cantSplit/>
        </w:trPr>
        <w:tc>
          <w:tcPr>
            <w:tcW w:w="10031" w:type="dxa"/>
            <w:gridSpan w:val="2"/>
          </w:tcPr>
          <w:p w:rsidR="000069D4" w:rsidRDefault="009E52B2" w:rsidP="00792B80">
            <w:pPr>
              <w:pStyle w:val="Source"/>
              <w:spacing w:before="600"/>
              <w:rPr>
                <w:lang w:eastAsia="zh-CN"/>
              </w:rPr>
            </w:pPr>
            <w:bookmarkStart w:id="5" w:name="dsource" w:colFirst="0" w:colLast="0"/>
            <w:bookmarkEnd w:id="4"/>
            <w:r>
              <w:rPr>
                <w:lang w:eastAsia="zh-CN"/>
              </w:rPr>
              <w:t>Working Party 5D</w:t>
            </w:r>
          </w:p>
        </w:tc>
      </w:tr>
      <w:tr w:rsidR="000069D4">
        <w:trPr>
          <w:cantSplit/>
        </w:trPr>
        <w:tc>
          <w:tcPr>
            <w:tcW w:w="10031" w:type="dxa"/>
            <w:gridSpan w:val="2"/>
          </w:tcPr>
          <w:p w:rsidR="000069D4" w:rsidRDefault="009E52B2" w:rsidP="00EC4179">
            <w:pPr>
              <w:pStyle w:val="Title1"/>
              <w:rPr>
                <w:lang w:eastAsia="zh-CN"/>
              </w:rPr>
            </w:pPr>
            <w:bookmarkStart w:id="6" w:name="drec" w:colFirst="0" w:colLast="0"/>
            <w:bookmarkEnd w:id="5"/>
            <w:r>
              <w:t xml:space="preserve">Liaison statement to external Organizations on the schedule for updating Recommendation ITU-R M.1457-10 </w:t>
            </w:r>
            <w:r>
              <w:br/>
              <w:t>to Revision 11</w:t>
            </w:r>
          </w:p>
        </w:tc>
      </w:tr>
      <w:tr w:rsidR="000069D4">
        <w:trPr>
          <w:cantSplit/>
        </w:trPr>
        <w:tc>
          <w:tcPr>
            <w:tcW w:w="10031" w:type="dxa"/>
            <w:gridSpan w:val="2"/>
          </w:tcPr>
          <w:p w:rsidR="000069D4" w:rsidRDefault="000069D4" w:rsidP="00EC4179">
            <w:pPr>
              <w:pStyle w:val="Title2"/>
              <w:rPr>
                <w:lang w:eastAsia="zh-CN"/>
              </w:rPr>
            </w:pPr>
            <w:bookmarkStart w:id="7" w:name="dtitle1" w:colFirst="0" w:colLast="0"/>
            <w:bookmarkEnd w:id="6"/>
          </w:p>
        </w:tc>
      </w:tr>
    </w:tbl>
    <w:p w:rsidR="009E52B2" w:rsidRDefault="009E52B2" w:rsidP="009E52B2">
      <w:pPr>
        <w:pStyle w:val="Headingb"/>
      </w:pPr>
      <w:bookmarkStart w:id="8" w:name="dbreak"/>
      <w:bookmarkEnd w:id="7"/>
      <w:bookmarkEnd w:id="8"/>
      <w:r>
        <w:t>Introduction</w:t>
      </w:r>
    </w:p>
    <w:p w:rsidR="009E52B2" w:rsidRDefault="009E52B2" w:rsidP="009E52B2">
      <w:r>
        <w:t>WP 5D recognizes and acknowledges the effort required in External Organizations to create the documentation necessary for an update of Recommendation ITU-R M.1457 for IMT-2000.</w:t>
      </w:r>
    </w:p>
    <w:p w:rsidR="009E52B2" w:rsidRDefault="009E52B2" w:rsidP="009E52B2">
      <w:r>
        <w:t>WP 5D further recognizes the effort required in some External Organizations to create the documentation necessary for both an update of Recommendation ITU-R M.1457 for IMT-2000, together with the development of the initial release of the Proposed New Recommendation ITU</w:t>
      </w:r>
      <w:r>
        <w:noBreakHyphen/>
        <w:t xml:space="preserve">R M.[IMT.RSPEC] for IMT-Advanced. </w:t>
      </w:r>
    </w:p>
    <w:p w:rsidR="009E52B2" w:rsidRDefault="009E52B2" w:rsidP="009E52B2">
      <w:r>
        <w:t>As noted in our previous Liaison Statement</w:t>
      </w:r>
      <w:r>
        <w:rPr>
          <w:rStyle w:val="FootnoteReference"/>
        </w:rPr>
        <w:footnoteReference w:id="1"/>
      </w:r>
      <w:r>
        <w:t xml:space="preserve"> regarding the development of M.1457-10:</w:t>
      </w:r>
    </w:p>
    <w:p w:rsidR="009E52B2" w:rsidRDefault="009E52B2" w:rsidP="009E52B2">
      <w:pPr>
        <w:ind w:left="720"/>
      </w:pPr>
      <w:r>
        <w:t xml:space="preserve">Given the consideration of the work underway on IMT-Advanced development in the industry, it is the desire of the ITU-R to eliminate as much as practicable the overlap of the work on </w:t>
      </w:r>
      <w:proofErr w:type="spellStart"/>
      <w:r>
        <w:t>IMT</w:t>
      </w:r>
      <w:r>
        <w:noBreakHyphen/>
        <w:t>Advanced</w:t>
      </w:r>
      <w:proofErr w:type="spellEnd"/>
      <w:r>
        <w:t xml:space="preserve"> from the work of updating of Recommendation ITU-R M.1457, both in Working Party 5D and in the industry organizations.</w:t>
      </w:r>
    </w:p>
    <w:p w:rsidR="009E52B2" w:rsidRDefault="009E52B2" w:rsidP="00A40C9D">
      <w:r>
        <w:rPr>
          <w:szCs w:val="24"/>
        </w:rPr>
        <w:t xml:space="preserve">Consequently, WP 5D informs the relevant External Organizations that it is deferring Revision 11 of Recommendation ITU-R M.1457 until 2012.  Should your organization have comments on the way forward provided in this liaison, please address them to the next meeting of WP 5D before the </w:t>
      </w:r>
      <w:r w:rsidR="00A40C9D">
        <w:rPr>
          <w:szCs w:val="24"/>
        </w:rPr>
        <w:t xml:space="preserve">revised </w:t>
      </w:r>
      <w:r>
        <w:rPr>
          <w:szCs w:val="24"/>
        </w:rPr>
        <w:t xml:space="preserve">contribution deadline of </w:t>
      </w:r>
      <w:r w:rsidR="00A40C9D">
        <w:rPr>
          <w:szCs w:val="24"/>
        </w:rPr>
        <w:t>30</w:t>
      </w:r>
      <w:r>
        <w:rPr>
          <w:szCs w:val="24"/>
        </w:rPr>
        <w:t xml:space="preserve"> March 2011</w:t>
      </w:r>
      <w:r w:rsidR="00A40C9D">
        <w:rPr>
          <w:rStyle w:val="FootnoteReference"/>
          <w:szCs w:val="24"/>
        </w:rPr>
        <w:footnoteReference w:id="2"/>
      </w:r>
      <w:r>
        <w:rPr>
          <w:szCs w:val="24"/>
        </w:rPr>
        <w:t>.</w:t>
      </w:r>
      <w:r>
        <w:t xml:space="preserve"> </w:t>
      </w:r>
    </w:p>
    <w:p w:rsidR="009E52B2" w:rsidRDefault="009E52B2" w:rsidP="009E52B2">
      <w:r>
        <w:t>WP 5D has therefore, developed the enclosed detailed update schedule for Revision 11 of Recommendation ITU</w:t>
      </w:r>
      <w:r>
        <w:noBreakHyphen/>
        <w:t xml:space="preserve">R M.1457. </w:t>
      </w:r>
    </w:p>
    <w:p w:rsidR="009E52B2" w:rsidRDefault="009E52B2" w:rsidP="009E52B2">
      <w:pPr>
        <w:pStyle w:val="Headingb"/>
      </w:pPr>
      <w:r>
        <w:t>Background</w:t>
      </w:r>
    </w:p>
    <w:p w:rsidR="009E52B2" w:rsidRDefault="009E52B2" w:rsidP="009E52B2">
      <w:r>
        <w:t>This liaison provides guidance to External Organizations regarding updates of the terrestrial radio interfaces in the development of Revision 11 of Recommendation ITU-R M.1457 (“Detailed specifications of the radio interfaces of IMT-2000”).</w:t>
      </w:r>
    </w:p>
    <w:p w:rsidR="009E52B2" w:rsidRDefault="009E52B2" w:rsidP="009E52B2">
      <w:r>
        <w:t>For convenience, this liaison follows the same format for the process and provides information in a similar manner as previous liaisons announcing prior updates.</w:t>
      </w:r>
    </w:p>
    <w:p w:rsidR="009E52B2" w:rsidRDefault="009E52B2" w:rsidP="009E52B2">
      <w:r>
        <w:t>Confirmed meeting dates for 2011 and 2012 will be published on the ITU website (</w:t>
      </w:r>
      <w:hyperlink r:id="rId12" w:history="1">
        <w:r>
          <w:rPr>
            <w:rStyle w:val="Hyperlink"/>
          </w:rPr>
          <w:t>http://www.itu.int/events/upcomingevents.asp?sector=ITU-R&amp;lang=en</w:t>
        </w:r>
      </w:hyperlink>
      <w:r>
        <w:t>).</w:t>
      </w:r>
    </w:p>
    <w:p w:rsidR="009E52B2" w:rsidRDefault="009E52B2" w:rsidP="009E52B2">
      <w:pPr>
        <w:pStyle w:val="Headingb"/>
      </w:pPr>
      <w:r>
        <w:t>Procedure</w:t>
      </w:r>
    </w:p>
    <w:p w:rsidR="009E52B2" w:rsidRDefault="009E52B2" w:rsidP="009E52B2">
      <w:r>
        <w:t xml:space="preserve">The procedure outlined in Circular Letter </w:t>
      </w:r>
      <w:hyperlink r:id="rId13" w:history="1">
        <w:r>
          <w:rPr>
            <w:rStyle w:val="Hyperlink"/>
          </w:rPr>
          <w:t>8/LCCE/95</w:t>
        </w:r>
      </w:hyperlink>
      <w:r>
        <w:t xml:space="preserve"> applies to the development of Revision 11.</w:t>
      </w:r>
    </w:p>
    <w:p w:rsidR="009E52B2" w:rsidRDefault="009E52B2" w:rsidP="009E52B2">
      <w:pPr>
        <w:pStyle w:val="Headingb"/>
      </w:pPr>
      <w:r>
        <w:t>Schedule</w:t>
      </w:r>
    </w:p>
    <w:p w:rsidR="009E52B2" w:rsidRDefault="009E52B2" w:rsidP="009E52B2">
      <w:r>
        <w:t xml:space="preserve">In accordance with Circular Letter 8/LCCE/95, ITU-R has historically updated Recommendation ITU-R M.1457 using a three-meeting cycle. </w:t>
      </w:r>
    </w:p>
    <w:p w:rsidR="009E52B2" w:rsidRDefault="009E52B2" w:rsidP="009E52B2">
      <w:r>
        <w:t xml:space="preserve">WP 5D will continue to follow the three meeting cycle but will defer Revision 11 until 2012. This time period includes the sending of Revision 11 to ITU-R </w:t>
      </w:r>
      <w:smartTag w:uri="urn:schemas-microsoft-com:office:smarttags" w:element="PersonName">
        <w:r>
          <w:t>Study Group 5</w:t>
        </w:r>
      </w:smartTag>
      <w:r>
        <w:t xml:space="preserve"> and its subsequent approval within ITU-R by the Member States and is impacted by the timing of the Radiocommunication Assembly and the World Radio Conferences in 2012 and related work-load prior to these major ITU-R meetings. </w:t>
      </w:r>
    </w:p>
    <w:p w:rsidR="009E52B2" w:rsidRDefault="009E52B2" w:rsidP="009E52B2">
      <w:r>
        <w:t xml:space="preserve">WP 5D announces that the first formal meeting in the three meeting cycle of the update development of Revision 11 of Recommendation ITU-R M.1457 will be WP 5D meeting No.11, which is scheduled for 7-14 July 2011.    </w:t>
      </w:r>
    </w:p>
    <w:p w:rsidR="009E52B2" w:rsidRDefault="009E52B2" w:rsidP="009E52B2">
      <w:pPr>
        <w:rPr>
          <w:lang w:val="en-US" w:eastAsia="zh-CN"/>
        </w:rPr>
      </w:pPr>
      <w:r>
        <w:rPr>
          <w:lang w:val="en-US" w:eastAsia="zh-CN"/>
        </w:rPr>
        <w:t xml:space="preserve">It should be noted that 2012 is a WRC year and that traditionally WP 5D has only held two meetings in a WRC year instead of the usual three meetings per year.  It should also be recognized that the </w:t>
      </w:r>
      <w:smartTag w:uri="urn:schemas-microsoft-com:office:smarttags" w:element="PersonName">
        <w:r>
          <w:rPr>
            <w:lang w:val="en-US" w:eastAsia="zh-CN"/>
          </w:rPr>
          <w:t>Study Group 5</w:t>
        </w:r>
      </w:smartTag>
      <w:r>
        <w:rPr>
          <w:lang w:val="en-US" w:eastAsia="zh-CN"/>
        </w:rPr>
        <w:t xml:space="preserve"> meeting in 2012 has not been scheduled yet but is anticipated to be near the end of the year 2012.</w:t>
      </w:r>
    </w:p>
    <w:p w:rsidR="009E52B2" w:rsidRDefault="009E52B2" w:rsidP="009E52B2">
      <w:pPr>
        <w:pStyle w:val="Normalaftertitle"/>
      </w:pPr>
      <w:r>
        <w:t xml:space="preserve">Table 1 provides the currently planned/anticipated schedule </w:t>
      </w:r>
      <w:r w:rsidR="005E178B">
        <w:t>of meetings for WP 5D and Study </w:t>
      </w:r>
      <w:r>
        <w:t>Group 5 through the 2011 and 2012 time frame and some milestone activities/actions towards Revision 11 of Recommendation ITU</w:t>
      </w:r>
      <w:r>
        <w:noBreakHyphen/>
        <w:t>R M.1457. Some adjustment of these dates might be required to accommodate availability of facilities at specific venues. Every effort will be made to keep these dates as listed. Please check the ITU website in case meeting details have changed (</w:t>
      </w:r>
      <w:hyperlink r:id="rId14" w:history="1">
        <w:r>
          <w:rPr>
            <w:rStyle w:val="Hyperlink"/>
            <w:rFonts w:eastAsia="Batang"/>
            <w:color w:val="000080"/>
          </w:rPr>
          <w:t>http://www.itu.int/events/monthlyagenda.asp?lang=en</w:t>
        </w:r>
      </w:hyperlink>
      <w:r>
        <w:t xml:space="preserve">). </w:t>
      </w:r>
    </w:p>
    <w:p w:rsidR="009E52B2" w:rsidRDefault="009E52B2" w:rsidP="009E52B2">
      <w:pPr>
        <w:pStyle w:val="TableNo"/>
      </w:pPr>
      <w:r>
        <w:t>Table 1</w:t>
      </w:r>
    </w:p>
    <w:p w:rsidR="009E52B2" w:rsidRDefault="009E52B2" w:rsidP="009E52B2">
      <w:pPr>
        <w:pStyle w:val="Tabletitle"/>
      </w:pPr>
      <w:r>
        <w:t>WP 5D and Relevant SG 5 Meetings and summary of activities/actions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5" w:type="dxa"/>
          <w:left w:w="55" w:type="dxa"/>
          <w:bottom w:w="55" w:type="dxa"/>
          <w:right w:w="55" w:type="dxa"/>
        </w:tblCellMar>
        <w:tblLook w:val="00BF"/>
      </w:tblPr>
      <w:tblGrid>
        <w:gridCol w:w="1227"/>
        <w:gridCol w:w="818"/>
        <w:gridCol w:w="1636"/>
        <w:gridCol w:w="1636"/>
        <w:gridCol w:w="4432"/>
      </w:tblGrid>
      <w:tr w:rsidR="009E52B2" w:rsidTr="009E52B2">
        <w:tc>
          <w:tcPr>
            <w:tcW w:w="1080" w:type="dxa"/>
            <w:tcBorders>
              <w:top w:val="single" w:sz="2" w:space="0" w:color="auto"/>
              <w:left w:val="single" w:sz="2" w:space="0" w:color="auto"/>
              <w:bottom w:val="single" w:sz="2" w:space="0" w:color="auto"/>
              <w:right w:val="single" w:sz="2" w:space="0" w:color="auto"/>
            </w:tcBorders>
            <w:hideMark/>
          </w:tcPr>
          <w:p w:rsidR="009E52B2" w:rsidRDefault="009E52B2">
            <w:pPr>
              <w:pStyle w:val="Tablehead"/>
            </w:pPr>
            <w:r>
              <w:t>Group</w:t>
            </w:r>
          </w:p>
        </w:tc>
        <w:tc>
          <w:tcPr>
            <w:tcW w:w="720" w:type="dxa"/>
            <w:tcBorders>
              <w:top w:val="single" w:sz="2" w:space="0" w:color="auto"/>
              <w:left w:val="single" w:sz="2" w:space="0" w:color="auto"/>
              <w:bottom w:val="single" w:sz="2" w:space="0" w:color="auto"/>
              <w:right w:val="single" w:sz="2" w:space="0" w:color="auto"/>
            </w:tcBorders>
            <w:hideMark/>
          </w:tcPr>
          <w:p w:rsidR="009E52B2" w:rsidRDefault="009E52B2">
            <w:pPr>
              <w:pStyle w:val="Tablehead"/>
            </w:pPr>
            <w:r>
              <w:t>No</w:t>
            </w:r>
          </w:p>
        </w:tc>
        <w:tc>
          <w:tcPr>
            <w:tcW w:w="1440" w:type="dxa"/>
            <w:tcBorders>
              <w:top w:val="single" w:sz="2" w:space="0" w:color="auto"/>
              <w:left w:val="single" w:sz="2" w:space="0" w:color="auto"/>
              <w:bottom w:val="single" w:sz="2" w:space="0" w:color="auto"/>
              <w:right w:val="single" w:sz="2" w:space="0" w:color="auto"/>
            </w:tcBorders>
            <w:hideMark/>
          </w:tcPr>
          <w:p w:rsidR="009E52B2" w:rsidRDefault="009E52B2">
            <w:pPr>
              <w:pStyle w:val="Tablehead"/>
            </w:pPr>
            <w:r>
              <w:t>Start</w:t>
            </w:r>
          </w:p>
        </w:tc>
        <w:tc>
          <w:tcPr>
            <w:tcW w:w="1440" w:type="dxa"/>
            <w:tcBorders>
              <w:top w:val="single" w:sz="2" w:space="0" w:color="auto"/>
              <w:left w:val="single" w:sz="2" w:space="0" w:color="auto"/>
              <w:bottom w:val="single" w:sz="2" w:space="0" w:color="auto"/>
              <w:right w:val="single" w:sz="2" w:space="0" w:color="auto"/>
            </w:tcBorders>
            <w:hideMark/>
          </w:tcPr>
          <w:p w:rsidR="009E52B2" w:rsidRDefault="009E52B2">
            <w:pPr>
              <w:pStyle w:val="Tablehead"/>
            </w:pPr>
            <w:r>
              <w:t>Stop</w:t>
            </w:r>
          </w:p>
        </w:tc>
        <w:tc>
          <w:tcPr>
            <w:tcW w:w="3901" w:type="dxa"/>
            <w:tcBorders>
              <w:top w:val="single" w:sz="2" w:space="0" w:color="auto"/>
              <w:left w:val="single" w:sz="2" w:space="0" w:color="auto"/>
              <w:bottom w:val="single" w:sz="2" w:space="0" w:color="auto"/>
              <w:right w:val="single" w:sz="2" w:space="0" w:color="auto"/>
            </w:tcBorders>
            <w:hideMark/>
          </w:tcPr>
          <w:p w:rsidR="009E52B2" w:rsidRDefault="009E52B2">
            <w:pPr>
              <w:pStyle w:val="Tablehead"/>
            </w:pPr>
            <w:r>
              <w:t>Activity/action</w:t>
            </w:r>
          </w:p>
        </w:tc>
      </w:tr>
      <w:tr w:rsidR="009E52B2" w:rsidTr="009E52B2">
        <w:tc>
          <w:tcPr>
            <w:tcW w:w="1080" w:type="dxa"/>
            <w:tcBorders>
              <w:top w:val="single" w:sz="2" w:space="0" w:color="auto"/>
              <w:left w:val="single" w:sz="2" w:space="0" w:color="auto"/>
              <w:bottom w:val="single" w:sz="2" w:space="0" w:color="auto"/>
              <w:right w:val="single" w:sz="2" w:space="0" w:color="auto"/>
            </w:tcBorders>
            <w:hideMark/>
          </w:tcPr>
          <w:p w:rsidR="009E52B2" w:rsidRDefault="009E52B2">
            <w:pPr>
              <w:pStyle w:val="Tabletext"/>
            </w:pPr>
            <w:r>
              <w:t xml:space="preserve">WP 5D </w:t>
            </w:r>
          </w:p>
        </w:tc>
        <w:tc>
          <w:tcPr>
            <w:tcW w:w="720" w:type="dxa"/>
            <w:tcBorders>
              <w:top w:val="single" w:sz="2" w:space="0" w:color="auto"/>
              <w:left w:val="single" w:sz="2" w:space="0" w:color="auto"/>
              <w:bottom w:val="single" w:sz="2" w:space="0" w:color="auto"/>
              <w:right w:val="single" w:sz="2" w:space="0" w:color="auto"/>
            </w:tcBorders>
            <w:hideMark/>
          </w:tcPr>
          <w:p w:rsidR="009E52B2" w:rsidRDefault="009E52B2">
            <w:pPr>
              <w:pStyle w:val="Tabletext"/>
              <w:jc w:val="center"/>
            </w:pPr>
            <w:r>
              <w:t>9</w:t>
            </w:r>
          </w:p>
        </w:tc>
        <w:tc>
          <w:tcPr>
            <w:tcW w:w="1440" w:type="dxa"/>
            <w:tcBorders>
              <w:top w:val="single" w:sz="2" w:space="0" w:color="auto"/>
              <w:left w:val="single" w:sz="2" w:space="0" w:color="auto"/>
              <w:bottom w:val="single" w:sz="2" w:space="0" w:color="auto"/>
              <w:right w:val="single" w:sz="2" w:space="0" w:color="auto"/>
            </w:tcBorders>
            <w:hideMark/>
          </w:tcPr>
          <w:p w:rsidR="009E52B2" w:rsidRDefault="009E52B2">
            <w:pPr>
              <w:pStyle w:val="Tabletext"/>
              <w:jc w:val="center"/>
            </w:pPr>
            <w:r>
              <w:rPr>
                <w:color w:val="000000"/>
              </w:rPr>
              <w:t>13 Oct 2010</w:t>
            </w:r>
          </w:p>
        </w:tc>
        <w:tc>
          <w:tcPr>
            <w:tcW w:w="1440" w:type="dxa"/>
            <w:tcBorders>
              <w:top w:val="single" w:sz="2" w:space="0" w:color="auto"/>
              <w:left w:val="single" w:sz="2" w:space="0" w:color="auto"/>
              <w:bottom w:val="single" w:sz="2" w:space="0" w:color="auto"/>
              <w:right w:val="single" w:sz="2" w:space="0" w:color="auto"/>
            </w:tcBorders>
            <w:hideMark/>
          </w:tcPr>
          <w:p w:rsidR="009E52B2" w:rsidRDefault="009E52B2">
            <w:pPr>
              <w:pStyle w:val="Tabletext"/>
              <w:jc w:val="center"/>
            </w:pPr>
            <w:r>
              <w:rPr>
                <w:color w:val="000000"/>
              </w:rPr>
              <w:t>20 Oct 2010</w:t>
            </w:r>
          </w:p>
        </w:tc>
        <w:tc>
          <w:tcPr>
            <w:tcW w:w="3901" w:type="dxa"/>
            <w:tcBorders>
              <w:top w:val="single" w:sz="2" w:space="0" w:color="auto"/>
              <w:left w:val="single" w:sz="2" w:space="0" w:color="auto"/>
              <w:bottom w:val="single" w:sz="2" w:space="0" w:color="auto"/>
              <w:right w:val="single" w:sz="2" w:space="0" w:color="auto"/>
            </w:tcBorders>
            <w:hideMark/>
          </w:tcPr>
          <w:p w:rsidR="009E52B2" w:rsidRDefault="009E52B2">
            <w:pPr>
              <w:pStyle w:val="Tabletext"/>
              <w:rPr>
                <w:bCs/>
              </w:rPr>
            </w:pPr>
            <w:r>
              <w:rPr>
                <w:bCs/>
              </w:rPr>
              <w:t>Liaison to External Organizations announcing the detailed schedule for M.1457 Revision 11</w:t>
            </w:r>
          </w:p>
        </w:tc>
      </w:tr>
      <w:tr w:rsidR="009E52B2" w:rsidTr="009E52B2">
        <w:tc>
          <w:tcPr>
            <w:tcW w:w="1080" w:type="dxa"/>
            <w:tcBorders>
              <w:top w:val="single" w:sz="2" w:space="0" w:color="auto"/>
              <w:left w:val="single" w:sz="2" w:space="0" w:color="auto"/>
              <w:bottom w:val="single" w:sz="2" w:space="0" w:color="auto"/>
              <w:right w:val="single" w:sz="2" w:space="0" w:color="auto"/>
            </w:tcBorders>
            <w:hideMark/>
          </w:tcPr>
          <w:p w:rsidR="009E52B2" w:rsidRDefault="009E52B2">
            <w:pPr>
              <w:pStyle w:val="Tabletext"/>
            </w:pPr>
            <w:r>
              <w:t>WP 5D</w:t>
            </w:r>
          </w:p>
        </w:tc>
        <w:tc>
          <w:tcPr>
            <w:tcW w:w="720" w:type="dxa"/>
            <w:tcBorders>
              <w:top w:val="single" w:sz="2" w:space="0" w:color="auto"/>
              <w:left w:val="single" w:sz="2" w:space="0" w:color="auto"/>
              <w:bottom w:val="single" w:sz="2" w:space="0" w:color="auto"/>
              <w:right w:val="single" w:sz="2" w:space="0" w:color="auto"/>
            </w:tcBorders>
            <w:hideMark/>
          </w:tcPr>
          <w:p w:rsidR="009E52B2" w:rsidRDefault="009E52B2">
            <w:pPr>
              <w:pStyle w:val="Tabletext"/>
              <w:jc w:val="center"/>
              <w:rPr>
                <w:color w:val="000000"/>
              </w:rPr>
            </w:pPr>
            <w:r>
              <w:rPr>
                <w:color w:val="000000"/>
              </w:rPr>
              <w:t>10</w:t>
            </w:r>
          </w:p>
        </w:tc>
        <w:tc>
          <w:tcPr>
            <w:tcW w:w="1440" w:type="dxa"/>
            <w:tcBorders>
              <w:top w:val="single" w:sz="2" w:space="0" w:color="auto"/>
              <w:left w:val="single" w:sz="2" w:space="0" w:color="auto"/>
              <w:bottom w:val="single" w:sz="2" w:space="0" w:color="auto"/>
              <w:right w:val="single" w:sz="2" w:space="0" w:color="auto"/>
            </w:tcBorders>
            <w:hideMark/>
          </w:tcPr>
          <w:p w:rsidR="009E52B2" w:rsidRDefault="00A40C9D">
            <w:pPr>
              <w:pStyle w:val="Tabletext"/>
              <w:jc w:val="center"/>
            </w:pPr>
            <w:r>
              <w:t>6 Apr</w:t>
            </w:r>
            <w:r w:rsidR="009E52B2">
              <w:t xml:space="preserve"> 2011</w:t>
            </w:r>
          </w:p>
        </w:tc>
        <w:tc>
          <w:tcPr>
            <w:tcW w:w="1440" w:type="dxa"/>
            <w:tcBorders>
              <w:top w:val="single" w:sz="2" w:space="0" w:color="auto"/>
              <w:left w:val="single" w:sz="2" w:space="0" w:color="auto"/>
              <w:bottom w:val="single" w:sz="2" w:space="0" w:color="auto"/>
              <w:right w:val="single" w:sz="2" w:space="0" w:color="auto"/>
            </w:tcBorders>
            <w:hideMark/>
          </w:tcPr>
          <w:p w:rsidR="009E52B2" w:rsidRDefault="00A40C9D">
            <w:pPr>
              <w:pStyle w:val="Tabletext"/>
              <w:jc w:val="center"/>
            </w:pPr>
            <w:r>
              <w:t>13</w:t>
            </w:r>
            <w:r w:rsidR="009E52B2">
              <w:t xml:space="preserve"> Apr 2011</w:t>
            </w:r>
          </w:p>
        </w:tc>
        <w:tc>
          <w:tcPr>
            <w:tcW w:w="3901" w:type="dxa"/>
            <w:tcBorders>
              <w:top w:val="single" w:sz="2" w:space="0" w:color="auto"/>
              <w:left w:val="single" w:sz="2" w:space="0" w:color="auto"/>
              <w:bottom w:val="single" w:sz="2" w:space="0" w:color="auto"/>
              <w:right w:val="single" w:sz="2" w:space="0" w:color="auto"/>
            </w:tcBorders>
            <w:hideMark/>
          </w:tcPr>
          <w:p w:rsidR="009E52B2" w:rsidRDefault="009E52B2">
            <w:pPr>
              <w:pStyle w:val="Tabletext"/>
              <w:jc w:val="center"/>
              <w:rPr>
                <w:bCs/>
              </w:rPr>
            </w:pPr>
            <w:r>
              <w:rPr>
                <w:bCs/>
              </w:rPr>
              <w:t>-</w:t>
            </w:r>
          </w:p>
        </w:tc>
      </w:tr>
      <w:tr w:rsidR="009E52B2" w:rsidTr="009E52B2">
        <w:tc>
          <w:tcPr>
            <w:tcW w:w="1080" w:type="dxa"/>
            <w:tcBorders>
              <w:top w:val="single" w:sz="2" w:space="0" w:color="auto"/>
              <w:left w:val="single" w:sz="2" w:space="0" w:color="auto"/>
              <w:bottom w:val="single" w:sz="2" w:space="0" w:color="auto"/>
              <w:right w:val="single" w:sz="2" w:space="0" w:color="auto"/>
            </w:tcBorders>
            <w:hideMark/>
          </w:tcPr>
          <w:p w:rsidR="009E52B2" w:rsidRDefault="009E52B2">
            <w:pPr>
              <w:pStyle w:val="Tabletext"/>
            </w:pPr>
            <w:r>
              <w:t>WP 5D</w:t>
            </w:r>
          </w:p>
        </w:tc>
        <w:tc>
          <w:tcPr>
            <w:tcW w:w="720" w:type="dxa"/>
            <w:tcBorders>
              <w:top w:val="single" w:sz="2" w:space="0" w:color="auto"/>
              <w:left w:val="single" w:sz="2" w:space="0" w:color="auto"/>
              <w:bottom w:val="single" w:sz="2" w:space="0" w:color="auto"/>
              <w:right w:val="single" w:sz="2" w:space="0" w:color="auto"/>
            </w:tcBorders>
            <w:hideMark/>
          </w:tcPr>
          <w:p w:rsidR="009E52B2" w:rsidRDefault="009E52B2">
            <w:pPr>
              <w:pStyle w:val="Tabletext"/>
              <w:jc w:val="center"/>
            </w:pPr>
            <w:r>
              <w:rPr>
                <w:color w:val="000000"/>
              </w:rPr>
              <w:t>11</w:t>
            </w:r>
          </w:p>
        </w:tc>
        <w:tc>
          <w:tcPr>
            <w:tcW w:w="1440" w:type="dxa"/>
            <w:tcBorders>
              <w:top w:val="single" w:sz="2" w:space="0" w:color="auto"/>
              <w:left w:val="single" w:sz="2" w:space="0" w:color="auto"/>
              <w:bottom w:val="single" w:sz="2" w:space="0" w:color="auto"/>
              <w:right w:val="single" w:sz="2" w:space="0" w:color="auto"/>
            </w:tcBorders>
            <w:hideMark/>
          </w:tcPr>
          <w:p w:rsidR="009E52B2" w:rsidRDefault="009E52B2">
            <w:pPr>
              <w:pStyle w:val="Tabletext"/>
              <w:jc w:val="center"/>
            </w:pPr>
            <w:r>
              <w:t>7 Jul 2011</w:t>
            </w:r>
          </w:p>
        </w:tc>
        <w:tc>
          <w:tcPr>
            <w:tcW w:w="1440" w:type="dxa"/>
            <w:tcBorders>
              <w:top w:val="single" w:sz="2" w:space="0" w:color="auto"/>
              <w:left w:val="single" w:sz="2" w:space="0" w:color="auto"/>
              <w:bottom w:val="single" w:sz="2" w:space="0" w:color="auto"/>
              <w:right w:val="single" w:sz="2" w:space="0" w:color="auto"/>
            </w:tcBorders>
            <w:hideMark/>
          </w:tcPr>
          <w:p w:rsidR="009E52B2" w:rsidRDefault="009E52B2">
            <w:pPr>
              <w:pStyle w:val="Tabletext"/>
              <w:jc w:val="center"/>
            </w:pPr>
            <w:r>
              <w:t>14 Jul 2011</w:t>
            </w:r>
          </w:p>
        </w:tc>
        <w:tc>
          <w:tcPr>
            <w:tcW w:w="3901" w:type="dxa"/>
            <w:tcBorders>
              <w:top w:val="single" w:sz="2" w:space="0" w:color="auto"/>
              <w:left w:val="single" w:sz="2" w:space="0" w:color="auto"/>
              <w:bottom w:val="single" w:sz="2" w:space="0" w:color="auto"/>
              <w:right w:val="single" w:sz="2" w:space="0" w:color="auto"/>
            </w:tcBorders>
            <w:hideMark/>
          </w:tcPr>
          <w:p w:rsidR="009E52B2" w:rsidRDefault="009E52B2">
            <w:pPr>
              <w:pStyle w:val="Tabletext"/>
              <w:rPr>
                <w:bCs/>
              </w:rPr>
            </w:pPr>
            <w:r>
              <w:rPr>
                <w:bCs/>
              </w:rPr>
              <w:t xml:space="preserve">Submissions toward Rev. 11 of Rec. ITU-R M.1457 </w:t>
            </w:r>
            <w:r>
              <w:rPr>
                <w:bCs/>
              </w:rPr>
              <w:br/>
              <w:t>(Meeting X)</w:t>
            </w:r>
          </w:p>
        </w:tc>
      </w:tr>
      <w:tr w:rsidR="009E52B2" w:rsidTr="009E52B2">
        <w:tc>
          <w:tcPr>
            <w:tcW w:w="1080" w:type="dxa"/>
            <w:tcBorders>
              <w:top w:val="single" w:sz="2" w:space="0" w:color="auto"/>
              <w:left w:val="single" w:sz="2" w:space="0" w:color="auto"/>
              <w:bottom w:val="single" w:sz="2" w:space="0" w:color="auto"/>
              <w:right w:val="single" w:sz="2" w:space="0" w:color="auto"/>
            </w:tcBorders>
            <w:hideMark/>
          </w:tcPr>
          <w:p w:rsidR="009E52B2" w:rsidRDefault="009E52B2">
            <w:pPr>
              <w:pStyle w:val="Tabletext"/>
            </w:pPr>
            <w:r>
              <w:rPr>
                <w:rFonts w:eastAsia="Arial Unicode MS"/>
              </w:rPr>
              <w:t>WP 5D</w:t>
            </w:r>
          </w:p>
        </w:tc>
        <w:tc>
          <w:tcPr>
            <w:tcW w:w="720" w:type="dxa"/>
            <w:tcBorders>
              <w:top w:val="single" w:sz="2" w:space="0" w:color="auto"/>
              <w:left w:val="single" w:sz="2" w:space="0" w:color="auto"/>
              <w:bottom w:val="single" w:sz="2" w:space="0" w:color="auto"/>
              <w:right w:val="single" w:sz="2" w:space="0" w:color="auto"/>
            </w:tcBorders>
            <w:hideMark/>
          </w:tcPr>
          <w:p w:rsidR="009E52B2" w:rsidRDefault="009E52B2">
            <w:pPr>
              <w:pStyle w:val="Tabletext"/>
              <w:jc w:val="center"/>
            </w:pPr>
            <w:r>
              <w:t>12</w:t>
            </w:r>
          </w:p>
        </w:tc>
        <w:tc>
          <w:tcPr>
            <w:tcW w:w="1440" w:type="dxa"/>
            <w:tcBorders>
              <w:top w:val="single" w:sz="2" w:space="0" w:color="auto"/>
              <w:left w:val="single" w:sz="2" w:space="0" w:color="auto"/>
              <w:bottom w:val="single" w:sz="2" w:space="0" w:color="auto"/>
              <w:right w:val="single" w:sz="2" w:space="0" w:color="auto"/>
            </w:tcBorders>
            <w:hideMark/>
          </w:tcPr>
          <w:p w:rsidR="009E52B2" w:rsidRDefault="009E52B2">
            <w:pPr>
              <w:pStyle w:val="Tabletext"/>
              <w:jc w:val="center"/>
            </w:pPr>
            <w:r>
              <w:t>12 Oct 2011</w:t>
            </w:r>
          </w:p>
        </w:tc>
        <w:tc>
          <w:tcPr>
            <w:tcW w:w="1440" w:type="dxa"/>
            <w:tcBorders>
              <w:top w:val="single" w:sz="2" w:space="0" w:color="auto"/>
              <w:left w:val="single" w:sz="2" w:space="0" w:color="auto"/>
              <w:bottom w:val="single" w:sz="2" w:space="0" w:color="auto"/>
              <w:right w:val="single" w:sz="2" w:space="0" w:color="auto"/>
            </w:tcBorders>
            <w:hideMark/>
          </w:tcPr>
          <w:p w:rsidR="009E52B2" w:rsidRDefault="009E52B2">
            <w:pPr>
              <w:pStyle w:val="Tabletext"/>
              <w:jc w:val="center"/>
            </w:pPr>
            <w:r>
              <w:t>19 Oct 2011</w:t>
            </w:r>
          </w:p>
        </w:tc>
        <w:tc>
          <w:tcPr>
            <w:tcW w:w="3901" w:type="dxa"/>
            <w:tcBorders>
              <w:top w:val="single" w:sz="2" w:space="0" w:color="auto"/>
              <w:left w:val="single" w:sz="2" w:space="0" w:color="auto"/>
              <w:bottom w:val="single" w:sz="2" w:space="0" w:color="auto"/>
              <w:right w:val="single" w:sz="2" w:space="0" w:color="auto"/>
            </w:tcBorders>
            <w:hideMark/>
          </w:tcPr>
          <w:p w:rsidR="009E52B2" w:rsidRDefault="009E52B2">
            <w:pPr>
              <w:pStyle w:val="Tabletext"/>
            </w:pPr>
            <w:r>
              <w:t xml:space="preserve">Submissions toward Rev. 11 of Rec. ITU-R M.1457 </w:t>
            </w:r>
            <w:r>
              <w:br/>
              <w:t>(Meeting X+1)</w:t>
            </w:r>
          </w:p>
        </w:tc>
      </w:tr>
      <w:tr w:rsidR="009E52B2" w:rsidTr="009E52B2">
        <w:tc>
          <w:tcPr>
            <w:tcW w:w="1080" w:type="dxa"/>
            <w:tcBorders>
              <w:top w:val="single" w:sz="2" w:space="0" w:color="auto"/>
              <w:left w:val="single" w:sz="2" w:space="0" w:color="auto"/>
              <w:bottom w:val="single" w:sz="2" w:space="0" w:color="auto"/>
              <w:right w:val="single" w:sz="2" w:space="0" w:color="auto"/>
            </w:tcBorders>
            <w:hideMark/>
          </w:tcPr>
          <w:p w:rsidR="009E52B2" w:rsidRDefault="009E52B2">
            <w:pPr>
              <w:pStyle w:val="Tabletext"/>
            </w:pPr>
            <w:r>
              <w:rPr>
                <w:rFonts w:eastAsia="Arial Unicode MS"/>
              </w:rPr>
              <w:t>WP 5D</w:t>
            </w:r>
            <w:r>
              <w:rPr>
                <w:rStyle w:val="FootnoteReference"/>
                <w:rFonts w:eastAsia="Arial Unicode MS"/>
              </w:rPr>
              <w:footnoteReference w:id="3"/>
            </w:r>
          </w:p>
        </w:tc>
        <w:tc>
          <w:tcPr>
            <w:tcW w:w="720" w:type="dxa"/>
            <w:tcBorders>
              <w:top w:val="single" w:sz="2" w:space="0" w:color="auto"/>
              <w:left w:val="single" w:sz="2" w:space="0" w:color="auto"/>
              <w:bottom w:val="single" w:sz="2" w:space="0" w:color="auto"/>
              <w:right w:val="single" w:sz="2" w:space="0" w:color="auto"/>
            </w:tcBorders>
            <w:hideMark/>
          </w:tcPr>
          <w:p w:rsidR="009E52B2" w:rsidRDefault="009E52B2">
            <w:pPr>
              <w:pStyle w:val="Tabletext"/>
              <w:jc w:val="center"/>
              <w:rPr>
                <w:color w:val="000000"/>
              </w:rPr>
            </w:pPr>
            <w:r>
              <w:rPr>
                <w:color w:val="000000"/>
              </w:rPr>
              <w:t>13</w:t>
            </w:r>
          </w:p>
        </w:tc>
        <w:tc>
          <w:tcPr>
            <w:tcW w:w="1440" w:type="dxa"/>
            <w:tcBorders>
              <w:top w:val="single" w:sz="2" w:space="0" w:color="auto"/>
              <w:left w:val="single" w:sz="2" w:space="0" w:color="auto"/>
              <w:bottom w:val="single" w:sz="2" w:space="0" w:color="auto"/>
              <w:right w:val="single" w:sz="2" w:space="0" w:color="auto"/>
            </w:tcBorders>
            <w:hideMark/>
          </w:tcPr>
          <w:p w:rsidR="009E52B2" w:rsidRDefault="009E52B2">
            <w:pPr>
              <w:pStyle w:val="Tabletext"/>
              <w:jc w:val="center"/>
              <w:rPr>
                <w:color w:val="000000"/>
              </w:rPr>
            </w:pPr>
            <w:r>
              <w:rPr>
                <w:color w:val="000000"/>
              </w:rPr>
              <w:t>23 Apr 2012</w:t>
            </w:r>
          </w:p>
        </w:tc>
        <w:tc>
          <w:tcPr>
            <w:tcW w:w="1440" w:type="dxa"/>
            <w:tcBorders>
              <w:top w:val="single" w:sz="2" w:space="0" w:color="auto"/>
              <w:left w:val="single" w:sz="2" w:space="0" w:color="auto"/>
              <w:bottom w:val="single" w:sz="2" w:space="0" w:color="auto"/>
              <w:right w:val="single" w:sz="2" w:space="0" w:color="auto"/>
            </w:tcBorders>
            <w:hideMark/>
          </w:tcPr>
          <w:p w:rsidR="009E52B2" w:rsidRDefault="009E52B2">
            <w:pPr>
              <w:pStyle w:val="Tabletext"/>
              <w:jc w:val="center"/>
              <w:rPr>
                <w:color w:val="000000"/>
              </w:rPr>
            </w:pPr>
            <w:r>
              <w:rPr>
                <w:color w:val="000000"/>
              </w:rPr>
              <w:t>27 Apr 2012</w:t>
            </w:r>
          </w:p>
        </w:tc>
        <w:tc>
          <w:tcPr>
            <w:tcW w:w="3901" w:type="dxa"/>
            <w:tcBorders>
              <w:top w:val="single" w:sz="2" w:space="0" w:color="auto"/>
              <w:left w:val="single" w:sz="2" w:space="0" w:color="auto"/>
              <w:bottom w:val="single" w:sz="2" w:space="0" w:color="auto"/>
              <w:right w:val="single" w:sz="2" w:space="0" w:color="auto"/>
            </w:tcBorders>
            <w:hideMark/>
          </w:tcPr>
          <w:p w:rsidR="009E52B2" w:rsidRDefault="009E52B2">
            <w:pPr>
              <w:pStyle w:val="Tabletext"/>
              <w:rPr>
                <w:bCs/>
                <w:sz w:val="20"/>
              </w:rPr>
            </w:pPr>
            <w:r>
              <w:rPr>
                <w:bCs/>
              </w:rPr>
              <w:t xml:space="preserve">Submissions toward Rev. 11 of Rec. ITU-R M.1457 </w:t>
            </w:r>
            <w:r>
              <w:rPr>
                <w:bCs/>
              </w:rPr>
              <w:br/>
              <w:t>(Meeting X+2)</w:t>
            </w:r>
          </w:p>
          <w:p w:rsidR="009E52B2" w:rsidRDefault="009E52B2">
            <w:pPr>
              <w:pStyle w:val="Tabletext"/>
              <w:rPr>
                <w:bCs/>
              </w:rPr>
            </w:pPr>
            <w:r>
              <w:rPr>
                <w:bCs/>
              </w:rPr>
              <w:t>and letter of conveyance.</w:t>
            </w:r>
          </w:p>
          <w:p w:rsidR="009E52B2" w:rsidRDefault="009E52B2">
            <w:pPr>
              <w:pStyle w:val="Tabletext"/>
              <w:rPr>
                <w:bCs/>
                <w:color w:val="000000"/>
              </w:rPr>
            </w:pPr>
            <w:r>
              <w:rPr>
                <w:bCs/>
              </w:rPr>
              <w:t>WP 5D agrees update for forwarding to SG 5</w:t>
            </w:r>
          </w:p>
        </w:tc>
      </w:tr>
      <w:tr w:rsidR="009E52B2" w:rsidTr="009E52B2">
        <w:tc>
          <w:tcPr>
            <w:tcW w:w="1080" w:type="dxa"/>
            <w:tcBorders>
              <w:top w:val="single" w:sz="2" w:space="0" w:color="auto"/>
              <w:left w:val="single" w:sz="2" w:space="0" w:color="auto"/>
              <w:bottom w:val="single" w:sz="2" w:space="0" w:color="auto"/>
              <w:right w:val="single" w:sz="2" w:space="0" w:color="auto"/>
            </w:tcBorders>
          </w:tcPr>
          <w:p w:rsidR="009E52B2" w:rsidRDefault="009E52B2">
            <w:pPr>
              <w:pStyle w:val="Tabletext"/>
              <w:rPr>
                <w:rFonts w:eastAsia="Arial Unicode MS"/>
              </w:rPr>
            </w:pPr>
          </w:p>
        </w:tc>
        <w:tc>
          <w:tcPr>
            <w:tcW w:w="720" w:type="dxa"/>
            <w:tcBorders>
              <w:top w:val="single" w:sz="2" w:space="0" w:color="auto"/>
              <w:left w:val="single" w:sz="2" w:space="0" w:color="auto"/>
              <w:bottom w:val="single" w:sz="2" w:space="0" w:color="auto"/>
              <w:right w:val="single" w:sz="2" w:space="0" w:color="auto"/>
            </w:tcBorders>
          </w:tcPr>
          <w:p w:rsidR="009E52B2" w:rsidRDefault="009E52B2">
            <w:pPr>
              <w:pStyle w:val="Tabletext"/>
              <w:jc w:val="center"/>
              <w:rPr>
                <w:color w:val="000000"/>
              </w:rPr>
            </w:pPr>
          </w:p>
        </w:tc>
        <w:tc>
          <w:tcPr>
            <w:tcW w:w="1440" w:type="dxa"/>
            <w:tcBorders>
              <w:top w:val="single" w:sz="2" w:space="0" w:color="auto"/>
              <w:left w:val="single" w:sz="2" w:space="0" w:color="auto"/>
              <w:bottom w:val="single" w:sz="2" w:space="0" w:color="auto"/>
              <w:right w:val="single" w:sz="2" w:space="0" w:color="auto"/>
            </w:tcBorders>
            <w:hideMark/>
          </w:tcPr>
          <w:p w:rsidR="009E52B2" w:rsidRDefault="009E52B2">
            <w:pPr>
              <w:pStyle w:val="Tabletext"/>
              <w:jc w:val="center"/>
              <w:rPr>
                <w:color w:val="000000"/>
              </w:rPr>
            </w:pPr>
            <w:r>
              <w:rPr>
                <w:color w:val="000000"/>
              </w:rPr>
              <w:t>21 Sep 2012</w:t>
            </w:r>
          </w:p>
        </w:tc>
        <w:tc>
          <w:tcPr>
            <w:tcW w:w="1440" w:type="dxa"/>
            <w:tcBorders>
              <w:top w:val="single" w:sz="2" w:space="0" w:color="auto"/>
              <w:left w:val="single" w:sz="2" w:space="0" w:color="auto"/>
              <w:bottom w:val="single" w:sz="2" w:space="0" w:color="auto"/>
              <w:right w:val="single" w:sz="2" w:space="0" w:color="auto"/>
            </w:tcBorders>
            <w:hideMark/>
          </w:tcPr>
          <w:p w:rsidR="009E52B2" w:rsidRDefault="009E52B2">
            <w:pPr>
              <w:pStyle w:val="Tabletext"/>
              <w:jc w:val="center"/>
              <w:rPr>
                <w:color w:val="000000"/>
              </w:rPr>
            </w:pPr>
            <w:r>
              <w:rPr>
                <w:color w:val="000000"/>
              </w:rPr>
              <w:t>21 Sep 2012</w:t>
            </w:r>
          </w:p>
        </w:tc>
        <w:tc>
          <w:tcPr>
            <w:tcW w:w="3901" w:type="dxa"/>
            <w:tcBorders>
              <w:top w:val="single" w:sz="2" w:space="0" w:color="auto"/>
              <w:left w:val="single" w:sz="2" w:space="0" w:color="auto"/>
              <w:bottom w:val="single" w:sz="2" w:space="0" w:color="auto"/>
              <w:right w:val="single" w:sz="2" w:space="0" w:color="auto"/>
            </w:tcBorders>
            <w:hideMark/>
          </w:tcPr>
          <w:p w:rsidR="009E52B2" w:rsidRDefault="009E52B2">
            <w:pPr>
              <w:pStyle w:val="Tabletext"/>
              <w:rPr>
                <w:bCs/>
                <w:color w:val="000000"/>
              </w:rPr>
            </w:pPr>
            <w:r>
              <w:rPr>
                <w:bCs/>
                <w:color w:val="000000"/>
              </w:rPr>
              <w:t>Certification of references, and transposition; Final References to Radiocommunication Bureau</w:t>
            </w:r>
          </w:p>
        </w:tc>
      </w:tr>
      <w:tr w:rsidR="009E52B2" w:rsidTr="009E52B2">
        <w:tc>
          <w:tcPr>
            <w:tcW w:w="1080" w:type="dxa"/>
            <w:tcBorders>
              <w:top w:val="single" w:sz="2" w:space="0" w:color="auto"/>
              <w:left w:val="single" w:sz="2" w:space="0" w:color="auto"/>
              <w:bottom w:val="single" w:sz="2" w:space="0" w:color="auto"/>
              <w:right w:val="single" w:sz="2" w:space="0" w:color="auto"/>
            </w:tcBorders>
            <w:hideMark/>
          </w:tcPr>
          <w:p w:rsidR="009E52B2" w:rsidRDefault="009E52B2">
            <w:pPr>
              <w:pStyle w:val="Tabletext"/>
            </w:pPr>
            <w:r>
              <w:rPr>
                <w:rFonts w:eastAsia="Arial Unicode MS"/>
              </w:rPr>
              <w:t>WP 5D</w:t>
            </w:r>
          </w:p>
        </w:tc>
        <w:tc>
          <w:tcPr>
            <w:tcW w:w="720" w:type="dxa"/>
            <w:tcBorders>
              <w:top w:val="single" w:sz="2" w:space="0" w:color="auto"/>
              <w:left w:val="single" w:sz="2" w:space="0" w:color="auto"/>
              <w:bottom w:val="single" w:sz="2" w:space="0" w:color="auto"/>
              <w:right w:val="single" w:sz="2" w:space="0" w:color="auto"/>
            </w:tcBorders>
            <w:hideMark/>
          </w:tcPr>
          <w:p w:rsidR="009E52B2" w:rsidRDefault="009E52B2">
            <w:pPr>
              <w:pStyle w:val="Tabletext"/>
              <w:jc w:val="center"/>
              <w:rPr>
                <w:color w:val="000000"/>
              </w:rPr>
            </w:pPr>
            <w:r>
              <w:rPr>
                <w:color w:val="000000"/>
              </w:rPr>
              <w:t>14</w:t>
            </w:r>
          </w:p>
        </w:tc>
        <w:tc>
          <w:tcPr>
            <w:tcW w:w="1440" w:type="dxa"/>
            <w:tcBorders>
              <w:top w:val="single" w:sz="2" w:space="0" w:color="auto"/>
              <w:left w:val="single" w:sz="2" w:space="0" w:color="auto"/>
              <w:bottom w:val="single" w:sz="2" w:space="0" w:color="auto"/>
              <w:right w:val="single" w:sz="2" w:space="0" w:color="auto"/>
            </w:tcBorders>
            <w:hideMark/>
          </w:tcPr>
          <w:p w:rsidR="009E52B2" w:rsidRDefault="009E52B2">
            <w:pPr>
              <w:pStyle w:val="Tabletext"/>
              <w:jc w:val="center"/>
              <w:rPr>
                <w:color w:val="000000"/>
              </w:rPr>
            </w:pPr>
            <w:r>
              <w:rPr>
                <w:color w:val="000000"/>
              </w:rPr>
              <w:t>10 Oct 2012</w:t>
            </w:r>
          </w:p>
        </w:tc>
        <w:tc>
          <w:tcPr>
            <w:tcW w:w="1440" w:type="dxa"/>
            <w:tcBorders>
              <w:top w:val="single" w:sz="2" w:space="0" w:color="auto"/>
              <w:left w:val="single" w:sz="2" w:space="0" w:color="auto"/>
              <w:bottom w:val="single" w:sz="2" w:space="0" w:color="auto"/>
              <w:right w:val="single" w:sz="2" w:space="0" w:color="auto"/>
            </w:tcBorders>
            <w:hideMark/>
          </w:tcPr>
          <w:p w:rsidR="009E52B2" w:rsidRDefault="009E52B2">
            <w:pPr>
              <w:pStyle w:val="Tabletext"/>
              <w:jc w:val="center"/>
              <w:rPr>
                <w:color w:val="000000"/>
              </w:rPr>
            </w:pPr>
            <w:r>
              <w:rPr>
                <w:color w:val="000000"/>
              </w:rPr>
              <w:t>18 Oct 2012</w:t>
            </w:r>
          </w:p>
        </w:tc>
        <w:tc>
          <w:tcPr>
            <w:tcW w:w="3901" w:type="dxa"/>
            <w:tcBorders>
              <w:top w:val="single" w:sz="2" w:space="0" w:color="auto"/>
              <w:left w:val="single" w:sz="2" w:space="0" w:color="auto"/>
              <w:bottom w:val="single" w:sz="2" w:space="0" w:color="auto"/>
              <w:right w:val="single" w:sz="2" w:space="0" w:color="auto"/>
            </w:tcBorders>
            <w:hideMark/>
          </w:tcPr>
          <w:p w:rsidR="009E52B2" w:rsidRDefault="009E52B2">
            <w:pPr>
              <w:pStyle w:val="Tabletext"/>
              <w:jc w:val="center"/>
              <w:rPr>
                <w:bCs/>
              </w:rPr>
            </w:pPr>
            <w:r>
              <w:rPr>
                <w:bCs/>
              </w:rPr>
              <w:t>-</w:t>
            </w:r>
          </w:p>
        </w:tc>
      </w:tr>
      <w:tr w:rsidR="009E52B2" w:rsidTr="009E52B2">
        <w:tc>
          <w:tcPr>
            <w:tcW w:w="1080" w:type="dxa"/>
            <w:tcBorders>
              <w:top w:val="single" w:sz="2" w:space="0" w:color="auto"/>
              <w:left w:val="single" w:sz="2" w:space="0" w:color="auto"/>
              <w:bottom w:val="single" w:sz="2" w:space="0" w:color="auto"/>
              <w:right w:val="single" w:sz="2" w:space="0" w:color="auto"/>
            </w:tcBorders>
            <w:hideMark/>
          </w:tcPr>
          <w:p w:rsidR="009E52B2" w:rsidRDefault="009E52B2">
            <w:pPr>
              <w:pStyle w:val="Tabletext"/>
              <w:rPr>
                <w:bCs/>
              </w:rPr>
            </w:pPr>
            <w:r>
              <w:rPr>
                <w:bCs/>
              </w:rPr>
              <w:t>SG 5</w:t>
            </w:r>
          </w:p>
        </w:tc>
        <w:tc>
          <w:tcPr>
            <w:tcW w:w="720" w:type="dxa"/>
            <w:tcBorders>
              <w:top w:val="single" w:sz="2" w:space="0" w:color="auto"/>
              <w:left w:val="single" w:sz="2" w:space="0" w:color="auto"/>
              <w:bottom w:val="single" w:sz="2" w:space="0" w:color="auto"/>
              <w:right w:val="single" w:sz="2" w:space="0" w:color="auto"/>
            </w:tcBorders>
            <w:hideMark/>
          </w:tcPr>
          <w:p w:rsidR="009E52B2" w:rsidRDefault="009E52B2">
            <w:pPr>
              <w:pStyle w:val="Tabletext"/>
              <w:jc w:val="center"/>
              <w:rPr>
                <w:bCs/>
              </w:rPr>
            </w:pPr>
            <w:r>
              <w:rPr>
                <w:bCs/>
              </w:rPr>
              <w:t>-</w:t>
            </w:r>
          </w:p>
        </w:tc>
        <w:tc>
          <w:tcPr>
            <w:tcW w:w="1440" w:type="dxa"/>
            <w:tcBorders>
              <w:top w:val="single" w:sz="2" w:space="0" w:color="auto"/>
              <w:left w:val="single" w:sz="2" w:space="0" w:color="auto"/>
              <w:bottom w:val="single" w:sz="2" w:space="0" w:color="auto"/>
              <w:right w:val="single" w:sz="2" w:space="0" w:color="auto"/>
            </w:tcBorders>
            <w:hideMark/>
          </w:tcPr>
          <w:p w:rsidR="009E52B2" w:rsidRDefault="009E52B2">
            <w:pPr>
              <w:pStyle w:val="Tabletext"/>
              <w:jc w:val="center"/>
              <w:rPr>
                <w:bCs/>
              </w:rPr>
            </w:pPr>
            <w:r>
              <w:rPr>
                <w:bCs/>
              </w:rPr>
              <w:t xml:space="preserve">anticipated in </w:t>
            </w:r>
            <w:r>
              <w:rPr>
                <w:bCs/>
              </w:rPr>
              <w:br/>
              <w:t>Nov 2012</w:t>
            </w:r>
          </w:p>
        </w:tc>
        <w:tc>
          <w:tcPr>
            <w:tcW w:w="1440" w:type="dxa"/>
            <w:tcBorders>
              <w:top w:val="single" w:sz="2" w:space="0" w:color="auto"/>
              <w:left w:val="single" w:sz="2" w:space="0" w:color="auto"/>
              <w:bottom w:val="single" w:sz="2" w:space="0" w:color="auto"/>
              <w:right w:val="single" w:sz="2" w:space="0" w:color="auto"/>
            </w:tcBorders>
            <w:hideMark/>
          </w:tcPr>
          <w:p w:rsidR="009E52B2" w:rsidRDefault="009E52B2">
            <w:pPr>
              <w:pStyle w:val="Tabletext"/>
              <w:jc w:val="center"/>
              <w:rPr>
                <w:bCs/>
              </w:rPr>
            </w:pPr>
            <w:r>
              <w:rPr>
                <w:bCs/>
              </w:rPr>
              <w:t>anticipated in</w:t>
            </w:r>
            <w:r>
              <w:rPr>
                <w:bCs/>
              </w:rPr>
              <w:br/>
              <w:t>Nov 2012</w:t>
            </w:r>
          </w:p>
        </w:tc>
        <w:tc>
          <w:tcPr>
            <w:tcW w:w="3901" w:type="dxa"/>
            <w:tcBorders>
              <w:top w:val="single" w:sz="2" w:space="0" w:color="auto"/>
              <w:left w:val="single" w:sz="2" w:space="0" w:color="auto"/>
              <w:bottom w:val="single" w:sz="2" w:space="0" w:color="auto"/>
              <w:right w:val="single" w:sz="2" w:space="0" w:color="auto"/>
            </w:tcBorders>
            <w:hideMark/>
          </w:tcPr>
          <w:p w:rsidR="009E52B2" w:rsidRDefault="009E52B2">
            <w:pPr>
              <w:pStyle w:val="Tabletext"/>
              <w:rPr>
                <w:bCs/>
              </w:rPr>
            </w:pPr>
            <w:r>
              <w:rPr>
                <w:bCs/>
              </w:rPr>
              <w:t>Submission o</w:t>
            </w:r>
            <w:r w:rsidR="005E178B">
              <w:rPr>
                <w:bCs/>
              </w:rPr>
              <w:t>f Completed Rev. 11 of Rec. ITU</w:t>
            </w:r>
            <w:r w:rsidR="005E178B">
              <w:rPr>
                <w:bCs/>
              </w:rPr>
              <w:noBreakHyphen/>
            </w:r>
            <w:r>
              <w:rPr>
                <w:bCs/>
              </w:rPr>
              <w:t>R M.1457 (with all references and transpositions) to SG 5, based on currently anticipated SG 5 meeting schedule</w:t>
            </w:r>
          </w:p>
        </w:tc>
      </w:tr>
    </w:tbl>
    <w:p w:rsidR="009E52B2" w:rsidRDefault="009E52B2" w:rsidP="009E52B2">
      <w:pPr>
        <w:pStyle w:val="Headingb"/>
      </w:pPr>
      <w:r>
        <w:t>Inputs for Recommendation ITU-R M.1457 updates</w:t>
      </w:r>
    </w:p>
    <w:p w:rsidR="009E52B2" w:rsidRDefault="009E52B2" w:rsidP="009E52B2">
      <w:r>
        <w:t>The inputs or correspondence required for terrestrial component updates in the eleventh revision of Recommendation ITU-R M.1457 is found in Table 2. Inputs listed in the first part (“Technical input”) of the table are the ones required according to Circular Letter 8/LCCE/95 to be submitted to WP 5D.   It is clarified that WP 5D needs to receive only one submission of those inputs (i.e. “Technical input”) per each terrestrial radio interface.  Inputs listed in the second part of Table 2 (“Administrative input”) are of administrative nature. Those inputs need to be submitted to the ITU</w:t>
      </w:r>
      <w:r>
        <w:rPr>
          <w:lang w:eastAsia="zh-CN"/>
        </w:rPr>
        <w:noBreakHyphen/>
        <w:t>R SG 5</w:t>
      </w:r>
      <w:r>
        <w:t> </w:t>
      </w:r>
      <w:r>
        <w:rPr>
          <w:lang w:eastAsia="zh-CN"/>
        </w:rPr>
        <w:t>Counsellor</w:t>
      </w:r>
      <w:r>
        <w:t xml:space="preserve"> by each and every individual SDO that is stakeholder to any proposed change. With specific reference to the letters of conveyance, it is further clarified that they are needed only in case of modification or addition/deletion to the Global Core Specifications.</w:t>
      </w:r>
    </w:p>
    <w:p w:rsidR="00A40C9D" w:rsidRDefault="00A40C9D">
      <w:pPr>
        <w:tabs>
          <w:tab w:val="clear" w:pos="794"/>
          <w:tab w:val="clear" w:pos="1191"/>
          <w:tab w:val="clear" w:pos="1588"/>
          <w:tab w:val="clear" w:pos="1985"/>
        </w:tabs>
        <w:overflowPunct/>
        <w:autoSpaceDE/>
        <w:autoSpaceDN/>
        <w:adjustRightInd/>
        <w:spacing w:before="0"/>
        <w:textAlignment w:val="auto"/>
        <w:rPr>
          <w:caps/>
        </w:rPr>
      </w:pPr>
      <w:r>
        <w:br w:type="page"/>
      </w:r>
    </w:p>
    <w:p w:rsidR="009E52B2" w:rsidRDefault="009E52B2" w:rsidP="009E52B2">
      <w:pPr>
        <w:pStyle w:val="TableNo"/>
      </w:pPr>
      <w:r>
        <w:t>table 2</w:t>
      </w:r>
    </w:p>
    <w:p w:rsidR="009E52B2" w:rsidRDefault="009E52B2" w:rsidP="009E52B2">
      <w:pPr>
        <w:pStyle w:val="Tabletitle"/>
      </w:pPr>
      <w:r>
        <w:t xml:space="preserve">Inputs or correspondence required for terrestrial component updates </w:t>
      </w:r>
      <w:r>
        <w:br/>
        <w:t>in the tenth revision of Recommendation ITU-R M.1457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2"/>
        <w:gridCol w:w="1039"/>
        <w:gridCol w:w="3380"/>
        <w:gridCol w:w="3004"/>
      </w:tblGrid>
      <w:tr w:rsidR="009E52B2" w:rsidTr="009E52B2">
        <w:trPr>
          <w:trHeight w:val="324"/>
        </w:trPr>
        <w:tc>
          <w:tcPr>
            <w:tcW w:w="2442" w:type="dxa"/>
            <w:tcBorders>
              <w:top w:val="single" w:sz="4" w:space="0" w:color="auto"/>
              <w:left w:val="single" w:sz="4" w:space="0" w:color="auto"/>
              <w:bottom w:val="single" w:sz="4" w:space="0" w:color="auto"/>
              <w:right w:val="single" w:sz="4" w:space="0" w:color="auto"/>
            </w:tcBorders>
          </w:tcPr>
          <w:p w:rsidR="009E52B2" w:rsidRDefault="009E52B2">
            <w:pPr>
              <w:pStyle w:val="Tablehead"/>
            </w:pPr>
          </w:p>
        </w:tc>
        <w:tc>
          <w:tcPr>
            <w:tcW w:w="1042" w:type="dxa"/>
            <w:tcBorders>
              <w:top w:val="single" w:sz="4" w:space="0" w:color="auto"/>
              <w:left w:val="single" w:sz="4" w:space="0" w:color="auto"/>
              <w:bottom w:val="single" w:sz="4" w:space="0" w:color="auto"/>
              <w:right w:val="single" w:sz="4" w:space="0" w:color="auto"/>
            </w:tcBorders>
            <w:hideMark/>
          </w:tcPr>
          <w:p w:rsidR="009E52B2" w:rsidRDefault="009E52B2">
            <w:pPr>
              <w:pStyle w:val="Tablehead"/>
              <w:rPr>
                <w:rFonts w:eastAsia="Arial Unicode MS"/>
              </w:rPr>
            </w:pPr>
            <w:r>
              <w:t>Section</w:t>
            </w:r>
            <w:r>
              <w:rPr>
                <w:vertAlign w:val="superscript"/>
              </w:rPr>
              <w:t>1</w:t>
            </w:r>
          </w:p>
        </w:tc>
        <w:tc>
          <w:tcPr>
            <w:tcW w:w="3393" w:type="dxa"/>
            <w:tcBorders>
              <w:top w:val="single" w:sz="4" w:space="0" w:color="auto"/>
              <w:left w:val="single" w:sz="4" w:space="0" w:color="auto"/>
              <w:bottom w:val="single" w:sz="4" w:space="0" w:color="auto"/>
              <w:right w:val="single" w:sz="4" w:space="0" w:color="auto"/>
            </w:tcBorders>
            <w:hideMark/>
          </w:tcPr>
          <w:p w:rsidR="009E52B2" w:rsidRDefault="009E52B2">
            <w:pPr>
              <w:pStyle w:val="Tablehead"/>
              <w:rPr>
                <w:rFonts w:eastAsia="Arial Unicode MS"/>
              </w:rPr>
            </w:pPr>
            <w:r>
              <w:t>Item</w:t>
            </w:r>
          </w:p>
        </w:tc>
        <w:tc>
          <w:tcPr>
            <w:tcW w:w="3015" w:type="dxa"/>
            <w:tcBorders>
              <w:top w:val="single" w:sz="4" w:space="0" w:color="auto"/>
              <w:left w:val="single" w:sz="4" w:space="0" w:color="auto"/>
              <w:bottom w:val="single" w:sz="4" w:space="0" w:color="auto"/>
              <w:right w:val="single" w:sz="4" w:space="0" w:color="auto"/>
            </w:tcBorders>
            <w:hideMark/>
          </w:tcPr>
          <w:p w:rsidR="009E52B2" w:rsidRDefault="009E52B2">
            <w:pPr>
              <w:pStyle w:val="Tablehead"/>
              <w:rPr>
                <w:rFonts w:eastAsia="Arial Unicode MS"/>
              </w:rPr>
            </w:pPr>
            <w:r>
              <w:t>Final Date</w:t>
            </w:r>
            <w:r>
              <w:rPr>
                <w:vertAlign w:val="superscript"/>
              </w:rPr>
              <w:t>5</w:t>
            </w:r>
          </w:p>
        </w:tc>
      </w:tr>
      <w:tr w:rsidR="009E52B2" w:rsidTr="009E52B2">
        <w:trPr>
          <w:trHeight w:val="324"/>
        </w:trPr>
        <w:tc>
          <w:tcPr>
            <w:tcW w:w="2442" w:type="dxa"/>
            <w:tcBorders>
              <w:top w:val="single" w:sz="4" w:space="0" w:color="auto"/>
              <w:left w:val="single" w:sz="4" w:space="0" w:color="auto"/>
              <w:bottom w:val="single" w:sz="4" w:space="0" w:color="auto"/>
              <w:right w:val="single" w:sz="4" w:space="0" w:color="auto"/>
            </w:tcBorders>
            <w:hideMark/>
          </w:tcPr>
          <w:p w:rsidR="009E52B2" w:rsidRDefault="009E52B2">
            <w:pPr>
              <w:pStyle w:val="Tabletext"/>
              <w:spacing w:before="0" w:after="0"/>
              <w:jc w:val="center"/>
              <w:rPr>
                <w:rFonts w:eastAsia="Arial Unicode MS"/>
                <w:b/>
                <w:bCs/>
                <w:szCs w:val="22"/>
              </w:rPr>
            </w:pPr>
            <w:r>
              <w:rPr>
                <w:b/>
                <w:bCs/>
                <w:szCs w:val="22"/>
              </w:rPr>
              <w:t>Technical input</w:t>
            </w:r>
            <w:r>
              <w:rPr>
                <w:b/>
                <w:bCs/>
                <w:szCs w:val="22"/>
                <w:vertAlign w:val="superscript"/>
              </w:rPr>
              <w:t>6,7</w:t>
            </w:r>
            <w:r>
              <w:rPr>
                <w:b/>
                <w:bCs/>
                <w:szCs w:val="22"/>
              </w:rPr>
              <w:br/>
              <w:t>(to be submitted to WP 5D)</w:t>
            </w:r>
          </w:p>
        </w:tc>
        <w:tc>
          <w:tcPr>
            <w:tcW w:w="1042" w:type="dxa"/>
            <w:tcBorders>
              <w:top w:val="single" w:sz="4" w:space="0" w:color="auto"/>
              <w:left w:val="single" w:sz="4" w:space="0" w:color="auto"/>
              <w:bottom w:val="single" w:sz="4" w:space="0" w:color="auto"/>
              <w:right w:val="single" w:sz="4" w:space="0" w:color="auto"/>
            </w:tcBorders>
            <w:hideMark/>
          </w:tcPr>
          <w:p w:rsidR="009E52B2" w:rsidRDefault="009E52B2">
            <w:pPr>
              <w:pStyle w:val="Tabletext"/>
              <w:spacing w:before="0" w:after="0"/>
              <w:jc w:val="center"/>
              <w:rPr>
                <w:rFonts w:eastAsia="Arial Unicode MS"/>
                <w:sz w:val="20"/>
                <w:szCs w:val="22"/>
              </w:rPr>
            </w:pPr>
            <w:r>
              <w:rPr>
                <w:szCs w:val="22"/>
              </w:rPr>
              <w:t>5.X.1</w:t>
            </w:r>
          </w:p>
          <w:p w:rsidR="009E52B2" w:rsidRDefault="009E52B2">
            <w:pPr>
              <w:pStyle w:val="Tabletext"/>
              <w:spacing w:before="0" w:after="0"/>
              <w:jc w:val="center"/>
              <w:rPr>
                <w:rFonts w:eastAsia="Arial Unicode MS"/>
                <w:szCs w:val="22"/>
              </w:rPr>
            </w:pPr>
            <w:r>
              <w:rPr>
                <w:szCs w:val="22"/>
              </w:rPr>
              <w:t>5.X.2</w:t>
            </w:r>
          </w:p>
        </w:tc>
        <w:tc>
          <w:tcPr>
            <w:tcW w:w="3393" w:type="dxa"/>
            <w:tcBorders>
              <w:top w:val="single" w:sz="4" w:space="0" w:color="auto"/>
              <w:left w:val="single" w:sz="4" w:space="0" w:color="auto"/>
              <w:bottom w:val="single" w:sz="4" w:space="0" w:color="auto"/>
              <w:right w:val="single" w:sz="4" w:space="0" w:color="auto"/>
            </w:tcBorders>
            <w:hideMark/>
          </w:tcPr>
          <w:p w:rsidR="009E52B2" w:rsidRDefault="009E52B2">
            <w:pPr>
              <w:pStyle w:val="Tabletext"/>
              <w:spacing w:before="0" w:after="0"/>
              <w:jc w:val="center"/>
              <w:rPr>
                <w:rFonts w:eastAsia="Arial Unicode MS"/>
                <w:sz w:val="20"/>
                <w:szCs w:val="22"/>
              </w:rPr>
            </w:pPr>
            <w:r>
              <w:rPr>
                <w:szCs w:val="22"/>
              </w:rPr>
              <w:t>Overview section required</w:t>
            </w:r>
          </w:p>
          <w:p w:rsidR="009E52B2" w:rsidRDefault="009E52B2">
            <w:pPr>
              <w:pStyle w:val="Tabletext"/>
              <w:spacing w:before="0" w:after="0"/>
              <w:jc w:val="center"/>
              <w:rPr>
                <w:rFonts w:eastAsia="Arial Unicode MS"/>
                <w:szCs w:val="22"/>
              </w:rPr>
            </w:pPr>
            <w:r>
              <w:rPr>
                <w:szCs w:val="22"/>
              </w:rPr>
              <w:t>Titles and tables required</w:t>
            </w:r>
          </w:p>
          <w:p w:rsidR="009E52B2" w:rsidRDefault="009E52B2">
            <w:pPr>
              <w:pStyle w:val="Tabletext"/>
              <w:spacing w:before="0" w:after="0"/>
              <w:jc w:val="center"/>
              <w:rPr>
                <w:rFonts w:eastAsia="Arial Unicode MS"/>
                <w:szCs w:val="22"/>
              </w:rPr>
            </w:pPr>
            <w:r>
              <w:rPr>
                <w:szCs w:val="22"/>
              </w:rPr>
              <w:t>Global Core Specification submitted</w:t>
            </w:r>
          </w:p>
          <w:p w:rsidR="009E52B2" w:rsidRDefault="009E52B2">
            <w:pPr>
              <w:pStyle w:val="Tabletext"/>
              <w:spacing w:before="0" w:after="0"/>
              <w:jc w:val="center"/>
              <w:rPr>
                <w:rFonts w:eastAsia="Arial Unicode MS"/>
                <w:szCs w:val="22"/>
              </w:rPr>
            </w:pPr>
            <w:r>
              <w:rPr>
                <w:szCs w:val="22"/>
              </w:rPr>
              <w:t>Summary and rationale of update</w:t>
            </w:r>
          </w:p>
          <w:p w:rsidR="009E52B2" w:rsidRDefault="009E52B2">
            <w:pPr>
              <w:pStyle w:val="Tabletext"/>
              <w:spacing w:before="0" w:after="0"/>
              <w:jc w:val="center"/>
              <w:rPr>
                <w:rFonts w:eastAsia="Arial Unicode MS"/>
                <w:szCs w:val="22"/>
              </w:rPr>
            </w:pPr>
            <w:r>
              <w:rPr>
                <w:szCs w:val="22"/>
              </w:rPr>
              <w:t>Self-evaluation</w:t>
            </w:r>
          </w:p>
          <w:p w:rsidR="009E52B2" w:rsidRDefault="009E52B2">
            <w:pPr>
              <w:pStyle w:val="Tabletext"/>
              <w:spacing w:before="0" w:after="0"/>
              <w:jc w:val="center"/>
              <w:rPr>
                <w:rFonts w:eastAsia="Arial Unicode MS"/>
                <w:szCs w:val="22"/>
              </w:rPr>
            </w:pPr>
            <w:r>
              <w:rPr>
                <w:szCs w:val="22"/>
              </w:rPr>
              <w:t>Self-declaration of consistency</w:t>
            </w:r>
          </w:p>
        </w:tc>
        <w:tc>
          <w:tcPr>
            <w:tcW w:w="3015" w:type="dxa"/>
            <w:tcBorders>
              <w:top w:val="single" w:sz="4" w:space="0" w:color="auto"/>
              <w:left w:val="single" w:sz="4" w:space="0" w:color="auto"/>
              <w:bottom w:val="single" w:sz="4" w:space="0" w:color="auto"/>
              <w:right w:val="single" w:sz="4" w:space="0" w:color="auto"/>
            </w:tcBorders>
            <w:hideMark/>
          </w:tcPr>
          <w:p w:rsidR="009E52B2" w:rsidRDefault="009E52B2">
            <w:pPr>
              <w:pStyle w:val="Tabletext"/>
              <w:spacing w:before="0" w:after="0"/>
              <w:jc w:val="center"/>
              <w:rPr>
                <w:rFonts w:eastAsia="Arial Unicode MS"/>
                <w:szCs w:val="22"/>
                <w:lang w:eastAsia="zh-CN"/>
              </w:rPr>
            </w:pPr>
            <w:r>
              <w:rPr>
                <w:szCs w:val="22"/>
              </w:rPr>
              <w:t>16:00 hours UTC, 16 Apr 2012 (based on planned meeting dates)</w:t>
            </w:r>
          </w:p>
        </w:tc>
      </w:tr>
      <w:tr w:rsidR="009E52B2" w:rsidTr="009E52B2">
        <w:trPr>
          <w:trHeight w:val="324"/>
        </w:trPr>
        <w:tc>
          <w:tcPr>
            <w:tcW w:w="2442" w:type="dxa"/>
            <w:vMerge w:val="restart"/>
            <w:tcBorders>
              <w:top w:val="single" w:sz="4" w:space="0" w:color="auto"/>
              <w:left w:val="single" w:sz="4" w:space="0" w:color="auto"/>
              <w:bottom w:val="single" w:sz="4" w:space="0" w:color="auto"/>
              <w:right w:val="single" w:sz="4" w:space="0" w:color="auto"/>
            </w:tcBorders>
            <w:hideMark/>
          </w:tcPr>
          <w:p w:rsidR="009E52B2" w:rsidRDefault="009E52B2">
            <w:pPr>
              <w:pStyle w:val="Tabletext"/>
              <w:spacing w:before="0" w:after="0"/>
              <w:jc w:val="center"/>
              <w:rPr>
                <w:rFonts w:eastAsia="Arial Unicode MS"/>
                <w:b/>
                <w:bCs/>
                <w:szCs w:val="22"/>
              </w:rPr>
            </w:pPr>
            <w:r>
              <w:rPr>
                <w:b/>
                <w:bCs/>
                <w:szCs w:val="22"/>
              </w:rPr>
              <w:t>Administrative input</w:t>
            </w:r>
            <w:r>
              <w:rPr>
                <w:rFonts w:eastAsia="Arial Unicode MS"/>
                <w:b/>
                <w:bCs/>
                <w:szCs w:val="22"/>
              </w:rPr>
              <w:br/>
            </w:r>
            <w:r>
              <w:rPr>
                <w:b/>
                <w:bCs/>
                <w:szCs w:val="22"/>
              </w:rPr>
              <w:t>(to be submitted to ITU</w:t>
            </w:r>
            <w:r>
              <w:rPr>
                <w:b/>
                <w:bCs/>
                <w:szCs w:val="22"/>
                <w:lang w:eastAsia="zh-CN"/>
              </w:rPr>
              <w:t>-R</w:t>
            </w:r>
            <w:r>
              <w:rPr>
                <w:b/>
                <w:bCs/>
                <w:szCs w:val="22"/>
              </w:rPr>
              <w:t xml:space="preserve"> </w:t>
            </w:r>
            <w:r>
              <w:rPr>
                <w:b/>
                <w:bCs/>
                <w:szCs w:val="22"/>
                <w:lang w:eastAsia="zh-CN"/>
              </w:rPr>
              <w:t>SG 5 Counsellor</w:t>
            </w:r>
            <w:r>
              <w:rPr>
                <w:b/>
                <w:bCs/>
                <w:szCs w:val="22"/>
              </w:rPr>
              <w:t xml:space="preserve"> by each stakeholder SDO)</w:t>
            </w:r>
          </w:p>
        </w:tc>
        <w:tc>
          <w:tcPr>
            <w:tcW w:w="1042" w:type="dxa"/>
            <w:vMerge w:val="restart"/>
            <w:tcBorders>
              <w:top w:val="single" w:sz="4" w:space="0" w:color="auto"/>
              <w:left w:val="single" w:sz="4" w:space="0" w:color="auto"/>
              <w:bottom w:val="single" w:sz="4" w:space="0" w:color="auto"/>
              <w:right w:val="single" w:sz="4" w:space="0" w:color="auto"/>
            </w:tcBorders>
            <w:hideMark/>
          </w:tcPr>
          <w:p w:rsidR="009E52B2" w:rsidRDefault="009E52B2">
            <w:pPr>
              <w:pStyle w:val="Tabletext"/>
              <w:spacing w:before="0" w:after="0"/>
              <w:jc w:val="center"/>
              <w:rPr>
                <w:rFonts w:eastAsia="Arial Unicode MS"/>
                <w:szCs w:val="22"/>
              </w:rPr>
            </w:pPr>
            <w:r>
              <w:rPr>
                <w:szCs w:val="22"/>
              </w:rPr>
              <w:t>5.X.2</w:t>
            </w:r>
          </w:p>
        </w:tc>
        <w:tc>
          <w:tcPr>
            <w:tcW w:w="3393" w:type="dxa"/>
            <w:tcBorders>
              <w:top w:val="single" w:sz="4" w:space="0" w:color="auto"/>
              <w:left w:val="single" w:sz="4" w:space="0" w:color="auto"/>
              <w:bottom w:val="single" w:sz="4" w:space="0" w:color="auto"/>
              <w:right w:val="single" w:sz="4" w:space="0" w:color="auto"/>
            </w:tcBorders>
            <w:hideMark/>
          </w:tcPr>
          <w:p w:rsidR="009E52B2" w:rsidRDefault="009E52B2">
            <w:pPr>
              <w:pStyle w:val="Tabletext"/>
              <w:spacing w:before="0" w:after="0"/>
              <w:jc w:val="center"/>
              <w:rPr>
                <w:rFonts w:eastAsia="Arial Unicode MS"/>
                <w:szCs w:val="22"/>
              </w:rPr>
            </w:pPr>
            <w:r>
              <w:rPr>
                <w:szCs w:val="22"/>
              </w:rPr>
              <w:t>Letters of conveyance</w:t>
            </w:r>
            <w:r>
              <w:rPr>
                <w:szCs w:val="22"/>
                <w:vertAlign w:val="superscript"/>
              </w:rPr>
              <w:t>2, 4</w:t>
            </w:r>
          </w:p>
        </w:tc>
        <w:tc>
          <w:tcPr>
            <w:tcW w:w="3015" w:type="dxa"/>
            <w:tcBorders>
              <w:top w:val="single" w:sz="4" w:space="0" w:color="auto"/>
              <w:left w:val="single" w:sz="4" w:space="0" w:color="auto"/>
              <w:bottom w:val="single" w:sz="4" w:space="0" w:color="auto"/>
              <w:right w:val="single" w:sz="4" w:space="0" w:color="auto"/>
            </w:tcBorders>
            <w:hideMark/>
          </w:tcPr>
          <w:p w:rsidR="009E52B2" w:rsidRDefault="009E52B2">
            <w:pPr>
              <w:pStyle w:val="Tabletext"/>
              <w:spacing w:before="0" w:after="0"/>
              <w:jc w:val="center"/>
              <w:rPr>
                <w:rFonts w:eastAsia="Arial Unicode MS"/>
                <w:szCs w:val="22"/>
                <w:lang w:eastAsia="zh-CN"/>
              </w:rPr>
            </w:pPr>
            <w:r>
              <w:rPr>
                <w:szCs w:val="22"/>
              </w:rPr>
              <w:t>16:00 hours UTC, 16 Apr 2012 (based on planned meeting dates)</w:t>
            </w:r>
          </w:p>
        </w:tc>
      </w:tr>
      <w:tr w:rsidR="009E52B2" w:rsidTr="009E52B2">
        <w:trPr>
          <w:trHeight w:val="757"/>
        </w:trPr>
        <w:tc>
          <w:tcPr>
            <w:tcW w:w="9892" w:type="dxa"/>
            <w:vMerge/>
            <w:tcBorders>
              <w:top w:val="single" w:sz="4" w:space="0" w:color="auto"/>
              <w:left w:val="single" w:sz="4" w:space="0" w:color="auto"/>
              <w:bottom w:val="single" w:sz="4" w:space="0" w:color="auto"/>
              <w:right w:val="single" w:sz="4" w:space="0" w:color="auto"/>
            </w:tcBorders>
            <w:vAlign w:val="center"/>
            <w:hideMark/>
          </w:tcPr>
          <w:p w:rsidR="009E52B2" w:rsidRDefault="009E52B2">
            <w:pPr>
              <w:overflowPunct/>
              <w:autoSpaceDE/>
              <w:autoSpaceDN/>
              <w:adjustRightInd/>
              <w:spacing w:before="0"/>
              <w:rPr>
                <w:rFonts w:eastAsia="Arial Unicode MS"/>
                <w:b/>
                <w:bCs/>
                <w:sz w:val="20"/>
                <w:szCs w:val="22"/>
              </w:rPr>
            </w:pPr>
          </w:p>
        </w:tc>
        <w:tc>
          <w:tcPr>
            <w:tcW w:w="1042" w:type="dxa"/>
            <w:vMerge/>
            <w:tcBorders>
              <w:top w:val="single" w:sz="4" w:space="0" w:color="auto"/>
              <w:left w:val="single" w:sz="4" w:space="0" w:color="auto"/>
              <w:bottom w:val="single" w:sz="4" w:space="0" w:color="auto"/>
              <w:right w:val="single" w:sz="4" w:space="0" w:color="auto"/>
            </w:tcBorders>
            <w:vAlign w:val="center"/>
            <w:hideMark/>
          </w:tcPr>
          <w:p w:rsidR="009E52B2" w:rsidRDefault="009E52B2">
            <w:pPr>
              <w:overflowPunct/>
              <w:autoSpaceDE/>
              <w:autoSpaceDN/>
              <w:adjustRightInd/>
              <w:spacing w:before="0"/>
              <w:rPr>
                <w:rFonts w:eastAsia="Arial Unicode MS"/>
                <w:sz w:val="20"/>
                <w:szCs w:val="22"/>
              </w:rPr>
            </w:pPr>
          </w:p>
        </w:tc>
        <w:tc>
          <w:tcPr>
            <w:tcW w:w="3393" w:type="dxa"/>
            <w:tcBorders>
              <w:top w:val="single" w:sz="4" w:space="0" w:color="auto"/>
              <w:left w:val="single" w:sz="4" w:space="0" w:color="auto"/>
              <w:bottom w:val="single" w:sz="4" w:space="0" w:color="auto"/>
              <w:right w:val="single" w:sz="4" w:space="0" w:color="auto"/>
            </w:tcBorders>
            <w:hideMark/>
          </w:tcPr>
          <w:p w:rsidR="009E52B2" w:rsidRDefault="009E52B2">
            <w:pPr>
              <w:pStyle w:val="Tabletext"/>
              <w:spacing w:before="0" w:after="0"/>
              <w:jc w:val="center"/>
              <w:rPr>
                <w:rFonts w:eastAsia="Arial Unicode MS"/>
                <w:sz w:val="20"/>
                <w:szCs w:val="22"/>
              </w:rPr>
            </w:pPr>
            <w:r>
              <w:rPr>
                <w:szCs w:val="22"/>
              </w:rPr>
              <w:t>C</w:t>
            </w:r>
            <w:bookmarkStart w:id="9" w:name="OLE_LINK3"/>
            <w:r>
              <w:rPr>
                <w:szCs w:val="22"/>
              </w:rPr>
              <w:t>ertifications of references and transposition</w:t>
            </w:r>
            <w:r>
              <w:rPr>
                <w:szCs w:val="22"/>
                <w:vertAlign w:val="superscript"/>
              </w:rPr>
              <w:t>3</w:t>
            </w:r>
          </w:p>
          <w:p w:rsidR="009E52B2" w:rsidRDefault="009E52B2">
            <w:pPr>
              <w:pStyle w:val="Tabletext"/>
              <w:spacing w:before="0" w:after="0"/>
              <w:jc w:val="center"/>
              <w:rPr>
                <w:szCs w:val="22"/>
              </w:rPr>
            </w:pPr>
            <w:r>
              <w:rPr>
                <w:szCs w:val="22"/>
              </w:rPr>
              <w:t>Final references required</w:t>
            </w:r>
            <w:bookmarkEnd w:id="9"/>
          </w:p>
        </w:tc>
        <w:tc>
          <w:tcPr>
            <w:tcW w:w="3015" w:type="dxa"/>
            <w:tcBorders>
              <w:top w:val="single" w:sz="4" w:space="0" w:color="auto"/>
              <w:left w:val="single" w:sz="4" w:space="0" w:color="auto"/>
              <w:bottom w:val="single" w:sz="4" w:space="0" w:color="auto"/>
              <w:right w:val="single" w:sz="4" w:space="0" w:color="auto"/>
            </w:tcBorders>
            <w:hideMark/>
          </w:tcPr>
          <w:p w:rsidR="009E52B2" w:rsidRDefault="009E52B2">
            <w:pPr>
              <w:pStyle w:val="Tabletext"/>
              <w:spacing w:before="0" w:after="0"/>
              <w:jc w:val="center"/>
              <w:rPr>
                <w:szCs w:val="22"/>
              </w:rPr>
            </w:pPr>
            <w:r>
              <w:rPr>
                <w:szCs w:val="22"/>
              </w:rPr>
              <w:t>16:00 hours UTC, 21 Sep 2012 (based on planned meeting dates)</w:t>
            </w:r>
          </w:p>
        </w:tc>
      </w:tr>
      <w:tr w:rsidR="009E52B2" w:rsidTr="009E52B2">
        <w:trPr>
          <w:trHeight w:val="757"/>
        </w:trPr>
        <w:tc>
          <w:tcPr>
            <w:tcW w:w="9892" w:type="dxa"/>
            <w:gridSpan w:val="4"/>
            <w:tcBorders>
              <w:top w:val="single" w:sz="4" w:space="0" w:color="auto"/>
              <w:left w:val="single" w:sz="4" w:space="0" w:color="auto"/>
              <w:bottom w:val="single" w:sz="4" w:space="0" w:color="auto"/>
              <w:right w:val="single" w:sz="4" w:space="0" w:color="auto"/>
            </w:tcBorders>
            <w:hideMark/>
          </w:tcPr>
          <w:p w:rsidR="009E52B2" w:rsidRDefault="009E52B2">
            <w:pPr>
              <w:pStyle w:val="Note"/>
              <w:rPr>
                <w:rFonts w:eastAsia="Arial Unicode MS"/>
                <w:sz w:val="20"/>
              </w:rPr>
            </w:pPr>
            <w:r>
              <w:rPr>
                <w:bCs/>
                <w:sz w:val="20"/>
              </w:rPr>
              <w:t xml:space="preserve">NOTE 1 </w:t>
            </w:r>
            <w:r>
              <w:rPr>
                <w:bCs/>
                <w:sz w:val="20"/>
                <w:szCs w:val="24"/>
              </w:rPr>
              <w:sym w:font="Symbol" w:char="002D"/>
            </w:r>
            <w:r>
              <w:rPr>
                <w:bCs/>
                <w:sz w:val="20"/>
              </w:rPr>
              <w:t xml:space="preserve"> </w:t>
            </w:r>
            <w:r>
              <w:rPr>
                <w:sz w:val="20"/>
              </w:rPr>
              <w:t>The baseline document (based on Recommendation ITU-R M.1457</w:t>
            </w:r>
            <w:r>
              <w:rPr>
                <w:sz w:val="20"/>
              </w:rPr>
              <w:noBreakHyphen/>
            </w:r>
            <w:r>
              <w:rPr>
                <w:sz w:val="20"/>
                <w:lang w:eastAsia="zh-CN"/>
              </w:rPr>
              <w:t>10</w:t>
            </w:r>
            <w:r>
              <w:rPr>
                <w:sz w:val="20"/>
              </w:rPr>
              <w:t>) that shall be used by WP 5D in their internal work and by the External Organizations in submitting their changes for de</w:t>
            </w:r>
            <w:r w:rsidR="005E178B">
              <w:rPr>
                <w:sz w:val="20"/>
              </w:rPr>
              <w:t>velopment of Recommendation ITU</w:t>
            </w:r>
            <w:r w:rsidR="005E178B">
              <w:rPr>
                <w:sz w:val="20"/>
              </w:rPr>
              <w:noBreakHyphen/>
            </w:r>
            <w:r>
              <w:rPr>
                <w:sz w:val="20"/>
              </w:rPr>
              <w:t>R M.1457-</w:t>
            </w:r>
            <w:r>
              <w:rPr>
                <w:sz w:val="20"/>
                <w:lang w:eastAsia="zh-CN"/>
              </w:rPr>
              <w:t>11</w:t>
            </w:r>
            <w:r>
              <w:rPr>
                <w:sz w:val="20"/>
              </w:rPr>
              <w:t xml:space="preserve"> shall be provided by the ITU</w:t>
            </w:r>
            <w:r>
              <w:rPr>
                <w:sz w:val="20"/>
                <w:lang w:eastAsia="zh-CN"/>
              </w:rPr>
              <w:t>-R SG 5</w:t>
            </w:r>
            <w:r>
              <w:rPr>
                <w:sz w:val="20"/>
              </w:rPr>
              <w:t xml:space="preserve"> Counsellor.</w:t>
            </w:r>
          </w:p>
          <w:p w:rsidR="009E52B2" w:rsidRDefault="009E52B2">
            <w:pPr>
              <w:pStyle w:val="Note"/>
              <w:rPr>
                <w:rFonts w:eastAsia="Arial Unicode MS"/>
                <w:sz w:val="20"/>
              </w:rPr>
            </w:pPr>
            <w:r>
              <w:rPr>
                <w:bCs/>
                <w:sz w:val="20"/>
              </w:rPr>
              <w:t xml:space="preserve">NOTE 2 </w:t>
            </w:r>
            <w:r>
              <w:rPr>
                <w:bCs/>
                <w:sz w:val="20"/>
                <w:szCs w:val="24"/>
              </w:rPr>
              <w:sym w:font="Symbol" w:char="002D"/>
            </w:r>
            <w:r>
              <w:rPr>
                <w:bCs/>
                <w:sz w:val="20"/>
              </w:rPr>
              <w:t xml:space="preserve"> </w:t>
            </w:r>
            <w:r>
              <w:rPr>
                <w:sz w:val="20"/>
              </w:rPr>
              <w:t>As per Document IMT/2(Rev.1) (</w:t>
            </w:r>
            <w:hyperlink r:id="rId15" w:history="1">
              <w:r>
                <w:rPr>
                  <w:rStyle w:val="Hyperlink"/>
                  <w:sz w:val="20"/>
                  <w:szCs w:val="22"/>
                </w:rPr>
                <w:t>http://www.itu.int/osg/imt-project/docs/002r1.pdf</w:t>
              </w:r>
            </w:hyperlink>
            <w:r>
              <w:rPr>
                <w:sz w:val="20"/>
              </w:rPr>
              <w:t xml:space="preserve">). </w:t>
            </w:r>
          </w:p>
          <w:p w:rsidR="009E52B2" w:rsidRDefault="009E52B2">
            <w:pPr>
              <w:pStyle w:val="Note"/>
              <w:rPr>
                <w:rFonts w:eastAsia="Arial Unicode MS"/>
                <w:sz w:val="20"/>
              </w:rPr>
            </w:pPr>
            <w:r>
              <w:rPr>
                <w:bCs/>
                <w:sz w:val="20"/>
              </w:rPr>
              <w:t xml:space="preserve">NOTE 3 </w:t>
            </w:r>
            <w:r>
              <w:rPr>
                <w:bCs/>
                <w:sz w:val="20"/>
                <w:szCs w:val="24"/>
              </w:rPr>
              <w:sym w:font="Symbol" w:char="002D"/>
            </w:r>
            <w:r>
              <w:rPr>
                <w:bCs/>
                <w:sz w:val="20"/>
              </w:rPr>
              <w:t xml:space="preserve"> </w:t>
            </w:r>
            <w:r>
              <w:rPr>
                <w:sz w:val="20"/>
              </w:rPr>
              <w:t>As per Document IMT/1(Rev.2) (</w:t>
            </w:r>
            <w:hyperlink r:id="rId16" w:history="1">
              <w:r>
                <w:rPr>
                  <w:rStyle w:val="Hyperlink"/>
                  <w:sz w:val="20"/>
                  <w:szCs w:val="22"/>
                </w:rPr>
                <w:t>http://www.itu.int/osg/imt-project/docs/001r2.pdf</w:t>
              </w:r>
            </w:hyperlink>
            <w:r>
              <w:rPr>
                <w:sz w:val="20"/>
              </w:rPr>
              <w:t xml:space="preserve">). </w:t>
            </w:r>
          </w:p>
          <w:p w:rsidR="009E52B2" w:rsidRDefault="009E52B2">
            <w:pPr>
              <w:pStyle w:val="Note"/>
              <w:rPr>
                <w:rFonts w:eastAsia="Arial Unicode MS"/>
                <w:sz w:val="20"/>
              </w:rPr>
            </w:pPr>
            <w:r>
              <w:rPr>
                <w:bCs/>
                <w:sz w:val="20"/>
              </w:rPr>
              <w:t xml:space="preserve">NOTE 4 </w:t>
            </w:r>
            <w:r>
              <w:rPr>
                <w:bCs/>
                <w:sz w:val="20"/>
                <w:szCs w:val="24"/>
              </w:rPr>
              <w:sym w:font="Symbol" w:char="002D"/>
            </w:r>
            <w:r>
              <w:rPr>
                <w:bCs/>
                <w:sz w:val="20"/>
              </w:rPr>
              <w:t xml:space="preserve"> </w:t>
            </w:r>
            <w:r>
              <w:rPr>
                <w:sz w:val="20"/>
              </w:rPr>
              <w:t>Letters of conveyance have to be received by 16:00 hours UTC, 16 Apr 2012 (based on planned meeting dates). If the SDOs alter their position with respect to Part B of the letter of conveyance, the SDO must submit directly to the ITU</w:t>
            </w:r>
            <w:r>
              <w:rPr>
                <w:sz w:val="20"/>
                <w:lang w:eastAsia="zh-CN"/>
              </w:rPr>
              <w:t>-R SG 5 Counsellor</w:t>
            </w:r>
            <w:r>
              <w:rPr>
                <w:sz w:val="20"/>
              </w:rPr>
              <w:t xml:space="preserve"> by 16:00 hours UTC, 21 September 2012 (based on planned meeting dates) “letters of conveyance, Part B only” together with the final references.</w:t>
            </w:r>
          </w:p>
          <w:p w:rsidR="009E52B2" w:rsidRDefault="009E52B2">
            <w:pPr>
              <w:pStyle w:val="Note"/>
              <w:rPr>
                <w:rFonts w:eastAsia="Arial Unicode MS"/>
                <w:sz w:val="20"/>
              </w:rPr>
            </w:pPr>
            <w:r>
              <w:rPr>
                <w:bCs/>
                <w:sz w:val="20"/>
              </w:rPr>
              <w:t xml:space="preserve">NOTE 5 </w:t>
            </w:r>
            <w:r>
              <w:rPr>
                <w:bCs/>
                <w:sz w:val="20"/>
                <w:szCs w:val="24"/>
              </w:rPr>
              <w:sym w:font="Symbol" w:char="002D"/>
            </w:r>
            <w:r>
              <w:rPr>
                <w:bCs/>
                <w:sz w:val="20"/>
              </w:rPr>
              <w:t xml:space="preserve"> </w:t>
            </w:r>
            <w:r>
              <w:rPr>
                <w:sz w:val="20"/>
              </w:rPr>
              <w:t>The dates indicated in the table are the final ones for documents to be received by ITU, established as 16:00 hours UTC, 7 days prior to the start of the scheduled meeting.</w:t>
            </w:r>
          </w:p>
          <w:p w:rsidR="009E52B2" w:rsidRDefault="009E52B2">
            <w:pPr>
              <w:pStyle w:val="Note"/>
              <w:rPr>
                <w:rFonts w:eastAsia="Arial Unicode MS"/>
                <w:sz w:val="20"/>
              </w:rPr>
            </w:pPr>
            <w:r>
              <w:rPr>
                <w:bCs/>
                <w:sz w:val="20"/>
              </w:rPr>
              <w:t xml:space="preserve">NOTE 6 </w:t>
            </w:r>
            <w:r>
              <w:rPr>
                <w:bCs/>
                <w:sz w:val="20"/>
                <w:szCs w:val="24"/>
              </w:rPr>
              <w:sym w:font="Symbol" w:char="002D"/>
            </w:r>
            <w:r>
              <w:rPr>
                <w:bCs/>
                <w:sz w:val="20"/>
              </w:rPr>
              <w:t xml:space="preserve"> </w:t>
            </w:r>
            <w:r>
              <w:rPr>
                <w:sz w:val="20"/>
              </w:rPr>
              <w:t>If the proposed changes affect section 5.X.2 only, then only a subset of the listed items are needed (i.e. Summary and rationale of update, and self declaration of consistency with 5.X.1 and the GCS, as per Circular Letter 8/LCCE/95 Section 3; it is further clarified that, if titles and/or synopsis in 5.X.2 are modified, the modified 5.X.2 has to be submitted, as well).</w:t>
            </w:r>
          </w:p>
          <w:p w:rsidR="009E52B2" w:rsidRDefault="009E52B2">
            <w:pPr>
              <w:pStyle w:val="Note"/>
              <w:rPr>
                <w:sz w:val="20"/>
              </w:rPr>
            </w:pPr>
            <w:r>
              <w:rPr>
                <w:sz w:val="20"/>
              </w:rPr>
              <w:t xml:space="preserve">NOTE 7 </w:t>
            </w:r>
            <w:r>
              <w:rPr>
                <w:bCs/>
                <w:sz w:val="20"/>
                <w:szCs w:val="24"/>
              </w:rPr>
              <w:sym w:font="Symbol" w:char="002D"/>
            </w:r>
            <w:r>
              <w:rPr>
                <w:bCs/>
                <w:sz w:val="20"/>
              </w:rPr>
              <w:t xml:space="preserve"> </w:t>
            </w:r>
            <w:r>
              <w:rPr>
                <w:sz w:val="20"/>
              </w:rPr>
              <w:t>Inputs listed in the first part (“Technical input”) of the table are the ones required according to Circular Letter 8/LCCE/95 to be submitted to WP 5D. It is clarified that WP 5D needs to receive only one submission of those inputs (i.e. “Technical input”) per each terrestrial radio interface.</w:t>
            </w:r>
          </w:p>
        </w:tc>
      </w:tr>
    </w:tbl>
    <w:p w:rsidR="009E52B2" w:rsidRDefault="009E52B2" w:rsidP="009E52B2">
      <w:pPr>
        <w:spacing w:before="0"/>
      </w:pPr>
    </w:p>
    <w:p w:rsidR="009E52B2" w:rsidRDefault="009E52B2" w:rsidP="009E52B2">
      <w:r>
        <w:rPr>
          <w:b/>
          <w:bCs/>
        </w:rPr>
        <w:t>Contact:</w:t>
      </w:r>
      <w:r>
        <w:tab/>
        <w:t>Colin Langtry</w:t>
      </w:r>
      <w:r>
        <w:br/>
      </w:r>
      <w:r>
        <w:tab/>
        <w:t>Counsellor, ITU-R SG 5</w:t>
      </w:r>
      <w:r>
        <w:br/>
      </w:r>
      <w:r>
        <w:tab/>
      </w:r>
      <w:hyperlink r:id="rId17" w:history="1">
        <w:r>
          <w:rPr>
            <w:rStyle w:val="Hyperlink"/>
          </w:rPr>
          <w:t>colin.langtry@itu.int</w:t>
        </w:r>
      </w:hyperlink>
    </w:p>
    <w:p w:rsidR="009E52B2" w:rsidRDefault="009E52B2" w:rsidP="009E52B2"/>
    <w:p w:rsidR="009E52B2" w:rsidRPr="009E52B2" w:rsidRDefault="009E52B2" w:rsidP="009E52B2">
      <w:pPr>
        <w:jc w:val="center"/>
        <w:rPr>
          <w:iCs/>
          <w:lang w:val="en-US" w:eastAsia="zh-CN"/>
        </w:rPr>
      </w:pPr>
      <w:r w:rsidRPr="009E52B2">
        <w:rPr>
          <w:bCs/>
          <w:iCs/>
        </w:rPr>
        <w:t>______________</w:t>
      </w:r>
    </w:p>
    <w:p w:rsidR="00792B80" w:rsidRDefault="00792B80" w:rsidP="009E52B2">
      <w:pPr>
        <w:pStyle w:val="ListParagraph"/>
        <w:rPr>
          <w:lang w:eastAsia="ja-JP"/>
        </w:rPr>
      </w:pPr>
    </w:p>
    <w:sectPr w:rsidR="00792B80" w:rsidSect="00A40C9D">
      <w:headerReference w:type="default" r:id="rId18"/>
      <w:footerReference w:type="default" r:id="rId19"/>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FB0" w:rsidRDefault="00F97FB0">
      <w:r>
        <w:separator/>
      </w:r>
    </w:p>
  </w:endnote>
  <w:endnote w:type="continuationSeparator" w:id="0">
    <w:p w:rsidR="00F97FB0" w:rsidRDefault="00F97F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0FF" w:rsidRPr="009E52B2" w:rsidRDefault="001322BA" w:rsidP="009E52B2">
    <w:pPr>
      <w:pStyle w:val="Footer"/>
    </w:pPr>
    <w:fldSimple w:instr=" FILENAME  \p  \* MERGEFORMAT ">
      <w:r w:rsidR="005E178B">
        <w:t>C:\CHONGQING\TEMPS 404-\406e.docx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FB0" w:rsidRDefault="00F97FB0">
      <w:r>
        <w:t>____________________</w:t>
      </w:r>
    </w:p>
  </w:footnote>
  <w:footnote w:type="continuationSeparator" w:id="0">
    <w:p w:rsidR="00F97FB0" w:rsidRDefault="00F97FB0">
      <w:r>
        <w:continuationSeparator/>
      </w:r>
    </w:p>
  </w:footnote>
  <w:footnote w:id="1">
    <w:p w:rsidR="009E52B2" w:rsidRDefault="009E52B2" w:rsidP="009E52B2">
      <w:pPr>
        <w:pStyle w:val="FootnoteText"/>
      </w:pPr>
      <w:r>
        <w:rPr>
          <w:rStyle w:val="FootnoteReference"/>
        </w:rPr>
        <w:footnoteRef/>
      </w:r>
      <w:r>
        <w:t xml:space="preserve"> Emailed from Colin Langtry, 13 July 2009 </w:t>
      </w:r>
    </w:p>
  </w:footnote>
  <w:footnote w:id="2">
    <w:p w:rsidR="00A40C9D" w:rsidRDefault="00A40C9D" w:rsidP="00A40C9D">
      <w:pPr>
        <w:pStyle w:val="FootnoteText"/>
        <w:tabs>
          <w:tab w:val="clear" w:pos="255"/>
          <w:tab w:val="left" w:pos="142"/>
        </w:tabs>
        <w:ind w:left="142" w:hanging="142"/>
      </w:pPr>
      <w:r>
        <w:rPr>
          <w:rStyle w:val="FootnoteReference"/>
        </w:rPr>
        <w:footnoteRef/>
      </w:r>
      <w:r>
        <w:t xml:space="preserve"> </w:t>
      </w:r>
      <w:r>
        <w:rPr>
          <w:lang w:val="en-US"/>
        </w:rPr>
        <w:t>The</w:t>
      </w:r>
      <w:r w:rsidRPr="00B66D6C">
        <w:rPr>
          <w:lang w:val="en-US"/>
        </w:rPr>
        <w:t xml:space="preserve"> original meeting dates of 30 March - 6 April 2011 </w:t>
      </w:r>
      <w:r>
        <w:rPr>
          <w:lang w:val="en-US"/>
        </w:rPr>
        <w:t>have been</w:t>
      </w:r>
      <w:r w:rsidRPr="00B66D6C">
        <w:rPr>
          <w:lang w:val="en-US"/>
        </w:rPr>
        <w:t xml:space="preserve"> shift</w:t>
      </w:r>
      <w:r>
        <w:rPr>
          <w:lang w:val="en-US"/>
        </w:rPr>
        <w:t>ed and confirmed to be</w:t>
      </w:r>
      <w:r w:rsidRPr="00B66D6C">
        <w:rPr>
          <w:lang w:val="en-US"/>
        </w:rPr>
        <w:t xml:space="preserve"> one week later</w:t>
      </w:r>
      <w:r>
        <w:rPr>
          <w:lang w:val="en-US"/>
        </w:rPr>
        <w:t>, i.e.</w:t>
      </w:r>
      <w:r w:rsidRPr="00B66D6C">
        <w:rPr>
          <w:lang w:val="en-US"/>
        </w:rPr>
        <w:t xml:space="preserve"> 6-13 April 2011. </w:t>
      </w:r>
      <w:r>
        <w:rPr>
          <w:lang w:val="en-US"/>
        </w:rPr>
        <w:t>Consequently</w:t>
      </w:r>
      <w:r w:rsidRPr="00B66D6C">
        <w:rPr>
          <w:lang w:val="en-US"/>
        </w:rPr>
        <w:t xml:space="preserve">, the new deadline for receipt of information </w:t>
      </w:r>
      <w:r>
        <w:rPr>
          <w:lang w:val="en-US"/>
        </w:rPr>
        <w:t>is</w:t>
      </w:r>
      <w:r w:rsidRPr="00B66D6C">
        <w:rPr>
          <w:lang w:val="en-US"/>
        </w:rPr>
        <w:t xml:space="preserve"> 16:00 hours UTC, 30 March 2011</w:t>
      </w:r>
    </w:p>
    <w:p w:rsidR="00A40C9D" w:rsidRPr="00A40C9D" w:rsidRDefault="00A40C9D">
      <w:pPr>
        <w:pStyle w:val="FootnoteText"/>
      </w:pPr>
    </w:p>
  </w:footnote>
  <w:footnote w:id="3">
    <w:p w:rsidR="009E52B2" w:rsidRDefault="009E52B2" w:rsidP="009E52B2">
      <w:pPr>
        <w:pStyle w:val="FootnoteText"/>
      </w:pPr>
      <w:r>
        <w:rPr>
          <w:rStyle w:val="FootnoteReference"/>
        </w:rPr>
        <w:footnoteRef/>
      </w:r>
      <w:r>
        <w:t xml:space="preserve"> Note that the numbering/naming of meetings from 2012 may be updated due to the commencement of a new Study Period.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2B2" w:rsidRPr="009E52B2" w:rsidRDefault="009940FF" w:rsidP="009E52B2">
    <w:pPr>
      <w:pStyle w:val="Header"/>
    </w:pPr>
    <w:r>
      <w:rPr>
        <w:lang w:val="en-US"/>
      </w:rPr>
      <w:t xml:space="preserve">- </w:t>
    </w:r>
    <w:r w:rsidR="001322BA">
      <w:rPr>
        <w:rStyle w:val="PageNumber"/>
      </w:rPr>
      <w:fldChar w:fldCharType="begin"/>
    </w:r>
    <w:r>
      <w:rPr>
        <w:rStyle w:val="PageNumber"/>
      </w:rPr>
      <w:instrText xml:space="preserve"> PAGE </w:instrText>
    </w:r>
    <w:r w:rsidR="001322BA">
      <w:rPr>
        <w:rStyle w:val="PageNumber"/>
      </w:rPr>
      <w:fldChar w:fldCharType="separate"/>
    </w:r>
    <w:r w:rsidR="00D73E42">
      <w:rPr>
        <w:rStyle w:val="PageNumber"/>
        <w:noProof/>
      </w:rPr>
      <w:t>2</w:t>
    </w:r>
    <w:r w:rsidR="001322BA">
      <w:rPr>
        <w:rStyle w:val="PageNumber"/>
      </w:rPr>
      <w:fldChar w:fldCharType="end"/>
    </w:r>
    <w:r>
      <w:rPr>
        <w:rStyle w:val="PageNumber"/>
      </w:rPr>
      <w:t xml:space="preserve"> -</w:t>
    </w:r>
  </w:p>
  <w:p w:rsidR="009940FF" w:rsidRDefault="009E52B2" w:rsidP="009E52B2">
    <w:pPr>
      <w:pStyle w:val="Header"/>
      <w:rPr>
        <w:lang w:val="en-US"/>
      </w:rPr>
    </w:pPr>
    <w:r>
      <w:rPr>
        <w:lang w:val="en-US"/>
      </w:rPr>
      <w:t>5D/TEMP/406-E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65E75"/>
    <w:multiLevelType w:val="hybridMultilevel"/>
    <w:tmpl w:val="00AE7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proofState w:spelling="clean"/>
  <w:attachedTemplate r:id="rId1"/>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savePreviewPicture/>
  <w:footnotePr>
    <w:footnote w:id="-1"/>
    <w:footnote w:id="0"/>
  </w:footnotePr>
  <w:endnotePr>
    <w:endnote w:id="-1"/>
    <w:endnote w:id="0"/>
  </w:endnotePr>
  <w:compat/>
  <w:rsids>
    <w:rsidRoot w:val="00EC4179"/>
    <w:rsid w:val="000069D4"/>
    <w:rsid w:val="000174AD"/>
    <w:rsid w:val="00066C27"/>
    <w:rsid w:val="000A7D55"/>
    <w:rsid w:val="000C7B27"/>
    <w:rsid w:val="000E0E7C"/>
    <w:rsid w:val="000F1B4B"/>
    <w:rsid w:val="0012744F"/>
    <w:rsid w:val="001322BA"/>
    <w:rsid w:val="00156F66"/>
    <w:rsid w:val="0018030A"/>
    <w:rsid w:val="00182528"/>
    <w:rsid w:val="0018500B"/>
    <w:rsid w:val="001D2B37"/>
    <w:rsid w:val="00202DC1"/>
    <w:rsid w:val="0021155C"/>
    <w:rsid w:val="002116EE"/>
    <w:rsid w:val="00212CCE"/>
    <w:rsid w:val="002309D8"/>
    <w:rsid w:val="002515B7"/>
    <w:rsid w:val="00295F98"/>
    <w:rsid w:val="002A7FE2"/>
    <w:rsid w:val="002D694C"/>
    <w:rsid w:val="002E1B4F"/>
    <w:rsid w:val="002E5B3C"/>
    <w:rsid w:val="002F208B"/>
    <w:rsid w:val="002F2E67"/>
    <w:rsid w:val="00315546"/>
    <w:rsid w:val="00330567"/>
    <w:rsid w:val="0034710B"/>
    <w:rsid w:val="00386A9D"/>
    <w:rsid w:val="00391081"/>
    <w:rsid w:val="003A328F"/>
    <w:rsid w:val="003B2789"/>
    <w:rsid w:val="003C13CE"/>
    <w:rsid w:val="003E2518"/>
    <w:rsid w:val="00433072"/>
    <w:rsid w:val="00444E2F"/>
    <w:rsid w:val="00452A66"/>
    <w:rsid w:val="004704C5"/>
    <w:rsid w:val="004B1EF7"/>
    <w:rsid w:val="004B3FAD"/>
    <w:rsid w:val="004D2B03"/>
    <w:rsid w:val="00501DCA"/>
    <w:rsid w:val="00513A47"/>
    <w:rsid w:val="005408DF"/>
    <w:rsid w:val="00583F9B"/>
    <w:rsid w:val="005B1899"/>
    <w:rsid w:val="005E178B"/>
    <w:rsid w:val="005E5C10"/>
    <w:rsid w:val="005F2C78"/>
    <w:rsid w:val="006144E4"/>
    <w:rsid w:val="00650299"/>
    <w:rsid w:val="006E4A75"/>
    <w:rsid w:val="007137AA"/>
    <w:rsid w:val="00733BAE"/>
    <w:rsid w:val="00753E23"/>
    <w:rsid w:val="00792B80"/>
    <w:rsid w:val="00810B78"/>
    <w:rsid w:val="00822581"/>
    <w:rsid w:val="008309DD"/>
    <w:rsid w:val="0083227A"/>
    <w:rsid w:val="00866900"/>
    <w:rsid w:val="00881BA1"/>
    <w:rsid w:val="008958AF"/>
    <w:rsid w:val="0091777D"/>
    <w:rsid w:val="00953AAB"/>
    <w:rsid w:val="00961B94"/>
    <w:rsid w:val="00982084"/>
    <w:rsid w:val="009940FF"/>
    <w:rsid w:val="00995963"/>
    <w:rsid w:val="009B61EB"/>
    <w:rsid w:val="009C2064"/>
    <w:rsid w:val="009C272D"/>
    <w:rsid w:val="009D1697"/>
    <w:rsid w:val="009E52B2"/>
    <w:rsid w:val="009E782D"/>
    <w:rsid w:val="00A014F8"/>
    <w:rsid w:val="00A40C9D"/>
    <w:rsid w:val="00A5173C"/>
    <w:rsid w:val="00A61AEF"/>
    <w:rsid w:val="00B066A4"/>
    <w:rsid w:val="00B07A13"/>
    <w:rsid w:val="00B4279B"/>
    <w:rsid w:val="00B45FC9"/>
    <w:rsid w:val="00B81FD2"/>
    <w:rsid w:val="00BB7DF3"/>
    <w:rsid w:val="00BC7CCF"/>
    <w:rsid w:val="00BE470B"/>
    <w:rsid w:val="00C57A91"/>
    <w:rsid w:val="00C60841"/>
    <w:rsid w:val="00C769AA"/>
    <w:rsid w:val="00C850DD"/>
    <w:rsid w:val="00CC01C2"/>
    <w:rsid w:val="00CF21F2"/>
    <w:rsid w:val="00D04E10"/>
    <w:rsid w:val="00D214D0"/>
    <w:rsid w:val="00D4634A"/>
    <w:rsid w:val="00D545A5"/>
    <w:rsid w:val="00D65310"/>
    <w:rsid w:val="00D6546B"/>
    <w:rsid w:val="00D6704F"/>
    <w:rsid w:val="00D73E42"/>
    <w:rsid w:val="00DD0624"/>
    <w:rsid w:val="00DD4BED"/>
    <w:rsid w:val="00DE39F0"/>
    <w:rsid w:val="00DF0AF3"/>
    <w:rsid w:val="00E27D7E"/>
    <w:rsid w:val="00E31A42"/>
    <w:rsid w:val="00E42E13"/>
    <w:rsid w:val="00E60F82"/>
    <w:rsid w:val="00E6257C"/>
    <w:rsid w:val="00E763C7"/>
    <w:rsid w:val="00E853AA"/>
    <w:rsid w:val="00EC4179"/>
    <w:rsid w:val="00EC439A"/>
    <w:rsid w:val="00EE0D5A"/>
    <w:rsid w:val="00F57767"/>
    <w:rsid w:val="00F97C5B"/>
    <w:rsid w:val="00F97FB0"/>
    <w:rsid w:val="00FA0062"/>
    <w:rsid w:val="00FA124A"/>
    <w:rsid w:val="00FC08DD"/>
    <w:rsid w:val="00FC2316"/>
    <w:rsid w:val="00FC2CFD"/>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776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57767"/>
    <w:pPr>
      <w:keepNext/>
      <w:keepLines/>
      <w:spacing w:before="360"/>
      <w:ind w:left="794" w:hanging="794"/>
      <w:outlineLvl w:val="0"/>
    </w:pPr>
    <w:rPr>
      <w:b/>
    </w:rPr>
  </w:style>
  <w:style w:type="paragraph" w:styleId="Heading2">
    <w:name w:val="heading 2"/>
    <w:basedOn w:val="Heading1"/>
    <w:next w:val="Normal"/>
    <w:qFormat/>
    <w:rsid w:val="00F57767"/>
    <w:pPr>
      <w:spacing w:before="240"/>
      <w:outlineLvl w:val="1"/>
    </w:pPr>
  </w:style>
  <w:style w:type="paragraph" w:styleId="Heading3">
    <w:name w:val="heading 3"/>
    <w:basedOn w:val="Heading1"/>
    <w:next w:val="Normal"/>
    <w:qFormat/>
    <w:rsid w:val="00F57767"/>
    <w:pPr>
      <w:spacing w:before="160"/>
      <w:outlineLvl w:val="2"/>
    </w:pPr>
  </w:style>
  <w:style w:type="paragraph" w:styleId="Heading4">
    <w:name w:val="heading 4"/>
    <w:basedOn w:val="Heading3"/>
    <w:next w:val="Normal"/>
    <w:qFormat/>
    <w:rsid w:val="00F57767"/>
    <w:pPr>
      <w:tabs>
        <w:tab w:val="clear" w:pos="794"/>
        <w:tab w:val="left" w:pos="1021"/>
      </w:tabs>
      <w:ind w:left="1021" w:hanging="1021"/>
      <w:outlineLvl w:val="3"/>
    </w:pPr>
  </w:style>
  <w:style w:type="paragraph" w:styleId="Heading5">
    <w:name w:val="heading 5"/>
    <w:basedOn w:val="Heading4"/>
    <w:next w:val="Normal"/>
    <w:qFormat/>
    <w:rsid w:val="00F57767"/>
    <w:pPr>
      <w:outlineLvl w:val="4"/>
    </w:pPr>
  </w:style>
  <w:style w:type="paragraph" w:styleId="Heading6">
    <w:name w:val="heading 6"/>
    <w:basedOn w:val="Heading4"/>
    <w:next w:val="Normal"/>
    <w:qFormat/>
    <w:rsid w:val="00F57767"/>
    <w:pPr>
      <w:tabs>
        <w:tab w:val="clear" w:pos="1021"/>
        <w:tab w:val="clear" w:pos="1191"/>
      </w:tabs>
      <w:ind w:left="1588" w:hanging="1588"/>
      <w:outlineLvl w:val="5"/>
    </w:pPr>
  </w:style>
  <w:style w:type="paragraph" w:styleId="Heading7">
    <w:name w:val="heading 7"/>
    <w:basedOn w:val="Heading6"/>
    <w:next w:val="Normal"/>
    <w:qFormat/>
    <w:rsid w:val="00F57767"/>
    <w:pPr>
      <w:outlineLvl w:val="6"/>
    </w:pPr>
  </w:style>
  <w:style w:type="paragraph" w:styleId="Heading8">
    <w:name w:val="heading 8"/>
    <w:basedOn w:val="Heading6"/>
    <w:next w:val="Normal"/>
    <w:qFormat/>
    <w:rsid w:val="00F57767"/>
    <w:pPr>
      <w:outlineLvl w:val="7"/>
    </w:pPr>
  </w:style>
  <w:style w:type="paragraph" w:styleId="Heading9">
    <w:name w:val="heading 9"/>
    <w:basedOn w:val="Heading6"/>
    <w:next w:val="Normal"/>
    <w:qFormat/>
    <w:rsid w:val="00F5776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F57767"/>
    <w:pPr>
      <w:spacing w:before="360"/>
    </w:pPr>
  </w:style>
  <w:style w:type="paragraph" w:customStyle="1" w:styleId="Artheading">
    <w:name w:val="Art_heading"/>
    <w:basedOn w:val="Normal"/>
    <w:next w:val="Normalaftertitle"/>
    <w:rsid w:val="00F57767"/>
    <w:pPr>
      <w:spacing w:before="480"/>
      <w:jc w:val="center"/>
    </w:pPr>
    <w:rPr>
      <w:b/>
      <w:sz w:val="28"/>
    </w:rPr>
  </w:style>
  <w:style w:type="paragraph" w:customStyle="1" w:styleId="ArtNo">
    <w:name w:val="Art_No"/>
    <w:basedOn w:val="Normal"/>
    <w:next w:val="Arttitle"/>
    <w:rsid w:val="00F57767"/>
    <w:pPr>
      <w:keepNext/>
      <w:keepLines/>
      <w:spacing w:before="480"/>
      <w:jc w:val="center"/>
    </w:pPr>
    <w:rPr>
      <w:caps/>
      <w:sz w:val="28"/>
    </w:rPr>
  </w:style>
  <w:style w:type="paragraph" w:customStyle="1" w:styleId="Arttitle">
    <w:name w:val="Art_title"/>
    <w:basedOn w:val="Normal"/>
    <w:next w:val="Normalaftertitle"/>
    <w:rsid w:val="00F57767"/>
    <w:pPr>
      <w:keepNext/>
      <w:keepLines/>
      <w:spacing w:before="240"/>
      <w:jc w:val="center"/>
    </w:pPr>
    <w:rPr>
      <w:b/>
      <w:sz w:val="28"/>
    </w:rPr>
  </w:style>
  <w:style w:type="paragraph" w:customStyle="1" w:styleId="ASN1">
    <w:name w:val="ASN.1"/>
    <w:basedOn w:val="Normal"/>
    <w:rsid w:val="00F5776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F57767"/>
    <w:pPr>
      <w:keepNext/>
      <w:keepLines/>
      <w:spacing w:before="160"/>
      <w:ind w:left="794"/>
    </w:pPr>
    <w:rPr>
      <w:i/>
    </w:rPr>
  </w:style>
  <w:style w:type="paragraph" w:customStyle="1" w:styleId="ChapNo">
    <w:name w:val="Chap_No"/>
    <w:basedOn w:val="Normal"/>
    <w:next w:val="Chaptitle"/>
    <w:rsid w:val="00F57767"/>
    <w:pPr>
      <w:keepNext/>
      <w:keepLines/>
      <w:spacing w:before="480"/>
      <w:jc w:val="center"/>
    </w:pPr>
    <w:rPr>
      <w:b/>
      <w:caps/>
      <w:sz w:val="28"/>
    </w:rPr>
  </w:style>
  <w:style w:type="paragraph" w:customStyle="1" w:styleId="Chaptitle">
    <w:name w:val="Chap_title"/>
    <w:basedOn w:val="Normal"/>
    <w:next w:val="Normalaftertitle"/>
    <w:rsid w:val="00F57767"/>
    <w:pPr>
      <w:keepNext/>
      <w:keepLines/>
      <w:spacing w:before="240"/>
      <w:jc w:val="center"/>
    </w:pPr>
    <w:rPr>
      <w:b/>
      <w:sz w:val="28"/>
    </w:rPr>
  </w:style>
  <w:style w:type="character" w:styleId="EndnoteReference">
    <w:name w:val="endnote reference"/>
    <w:basedOn w:val="DefaultParagraphFont"/>
    <w:semiHidden/>
    <w:rsid w:val="00F57767"/>
    <w:rPr>
      <w:vertAlign w:val="superscript"/>
    </w:rPr>
  </w:style>
  <w:style w:type="paragraph" w:customStyle="1" w:styleId="enumlev1">
    <w:name w:val="enumlev1"/>
    <w:basedOn w:val="Normal"/>
    <w:rsid w:val="00F57767"/>
    <w:pPr>
      <w:spacing w:before="80"/>
      <w:ind w:left="794" w:hanging="794"/>
    </w:pPr>
  </w:style>
  <w:style w:type="paragraph" w:customStyle="1" w:styleId="enumlev2">
    <w:name w:val="enumlev2"/>
    <w:basedOn w:val="enumlev1"/>
    <w:rsid w:val="00F57767"/>
    <w:pPr>
      <w:ind w:left="1191" w:hanging="397"/>
    </w:pPr>
  </w:style>
  <w:style w:type="paragraph" w:customStyle="1" w:styleId="enumlev3">
    <w:name w:val="enumlev3"/>
    <w:basedOn w:val="enumlev2"/>
    <w:rsid w:val="00F57767"/>
    <w:pPr>
      <w:ind w:left="1588"/>
    </w:pPr>
  </w:style>
  <w:style w:type="paragraph" w:customStyle="1" w:styleId="Equation">
    <w:name w:val="Equation"/>
    <w:basedOn w:val="Normal"/>
    <w:rsid w:val="00F57767"/>
    <w:pPr>
      <w:tabs>
        <w:tab w:val="clear" w:pos="1191"/>
        <w:tab w:val="clear" w:pos="1588"/>
        <w:tab w:val="clear" w:pos="1985"/>
        <w:tab w:val="center" w:pos="4820"/>
        <w:tab w:val="right" w:pos="9639"/>
      </w:tabs>
    </w:pPr>
  </w:style>
  <w:style w:type="paragraph" w:customStyle="1" w:styleId="Equationlegend">
    <w:name w:val="Equation_legend"/>
    <w:basedOn w:val="Normal"/>
    <w:rsid w:val="00F57767"/>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57767"/>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uiPriority w:val="99"/>
    <w:rsid w:val="00F5776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F57767"/>
    <w:pPr>
      <w:keepLines/>
      <w:spacing w:before="240" w:after="120"/>
      <w:jc w:val="center"/>
    </w:pPr>
  </w:style>
  <w:style w:type="paragraph" w:styleId="Footer">
    <w:name w:val="footer"/>
    <w:basedOn w:val="Normal"/>
    <w:rsid w:val="00F57767"/>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F5776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semiHidden/>
    <w:rsid w:val="00F5776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te"/>
    <w:link w:val="FootnoteTextChar"/>
    <w:uiPriority w:val="99"/>
    <w:rsid w:val="00F57767"/>
    <w:pPr>
      <w:keepLines/>
      <w:tabs>
        <w:tab w:val="left" w:pos="255"/>
      </w:tabs>
      <w:ind w:left="255" w:hanging="255"/>
    </w:pPr>
  </w:style>
  <w:style w:type="paragraph" w:customStyle="1" w:styleId="Note">
    <w:name w:val="Note"/>
    <w:basedOn w:val="Normal"/>
    <w:link w:val="NoteChar"/>
    <w:uiPriority w:val="99"/>
    <w:rsid w:val="00F57767"/>
    <w:pPr>
      <w:spacing w:before="80"/>
    </w:pPr>
    <w:rPr>
      <w:sz w:val="22"/>
    </w:rPr>
  </w:style>
  <w:style w:type="paragraph" w:styleId="Header">
    <w:name w:val="header"/>
    <w:basedOn w:val="Normal"/>
    <w:rsid w:val="00F57767"/>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F57767"/>
    <w:pPr>
      <w:keepNext/>
      <w:keepLines/>
      <w:spacing w:before="480"/>
      <w:jc w:val="center"/>
    </w:pPr>
    <w:rPr>
      <w:b/>
      <w:sz w:val="28"/>
    </w:rPr>
  </w:style>
  <w:style w:type="paragraph" w:customStyle="1" w:styleId="AppendixNoTitle">
    <w:name w:val="Appendix_NoTitle"/>
    <w:basedOn w:val="AnnexNoTitle"/>
    <w:next w:val="Normalaftertitle"/>
    <w:rsid w:val="00F57767"/>
  </w:style>
  <w:style w:type="paragraph" w:styleId="Index1">
    <w:name w:val="index 1"/>
    <w:basedOn w:val="Normal"/>
    <w:next w:val="Normal"/>
    <w:semiHidden/>
    <w:rsid w:val="00F57767"/>
  </w:style>
  <w:style w:type="paragraph" w:styleId="Index2">
    <w:name w:val="index 2"/>
    <w:basedOn w:val="Normal"/>
    <w:next w:val="Normal"/>
    <w:semiHidden/>
    <w:rsid w:val="00F57767"/>
    <w:pPr>
      <w:ind w:left="283"/>
    </w:pPr>
  </w:style>
  <w:style w:type="paragraph" w:styleId="Index3">
    <w:name w:val="index 3"/>
    <w:basedOn w:val="Normal"/>
    <w:next w:val="Normal"/>
    <w:semiHidden/>
    <w:rsid w:val="00F57767"/>
    <w:pPr>
      <w:ind w:left="566"/>
    </w:pPr>
  </w:style>
  <w:style w:type="paragraph" w:customStyle="1" w:styleId="PartNo">
    <w:name w:val="Part_No"/>
    <w:basedOn w:val="Normal"/>
    <w:next w:val="Partref"/>
    <w:rsid w:val="00F57767"/>
    <w:pPr>
      <w:keepNext/>
      <w:keepLines/>
      <w:spacing w:before="480" w:after="80"/>
      <w:jc w:val="center"/>
    </w:pPr>
    <w:rPr>
      <w:caps/>
      <w:sz w:val="28"/>
    </w:rPr>
  </w:style>
  <w:style w:type="paragraph" w:customStyle="1" w:styleId="Partref">
    <w:name w:val="Part_ref"/>
    <w:basedOn w:val="Normal"/>
    <w:next w:val="Parttitle"/>
    <w:rsid w:val="00F57767"/>
    <w:pPr>
      <w:keepNext/>
      <w:keepLines/>
      <w:spacing w:before="280"/>
      <w:jc w:val="center"/>
    </w:pPr>
  </w:style>
  <w:style w:type="paragraph" w:customStyle="1" w:styleId="Parttitle">
    <w:name w:val="Part_title"/>
    <w:basedOn w:val="Normal"/>
    <w:next w:val="Normalaftertitle"/>
    <w:rsid w:val="00F57767"/>
    <w:pPr>
      <w:keepNext/>
      <w:keepLines/>
      <w:spacing w:before="240" w:after="280"/>
      <w:jc w:val="center"/>
    </w:pPr>
    <w:rPr>
      <w:b/>
      <w:sz w:val="28"/>
    </w:rPr>
  </w:style>
  <w:style w:type="paragraph" w:customStyle="1" w:styleId="RecNo">
    <w:name w:val="Rec_No"/>
    <w:basedOn w:val="Normal"/>
    <w:next w:val="Rectitle"/>
    <w:rsid w:val="00F57767"/>
    <w:pPr>
      <w:keepNext/>
      <w:keepLines/>
      <w:spacing w:before="480"/>
      <w:jc w:val="center"/>
    </w:pPr>
    <w:rPr>
      <w:caps/>
      <w:sz w:val="28"/>
    </w:rPr>
  </w:style>
  <w:style w:type="paragraph" w:customStyle="1" w:styleId="Rectitle">
    <w:name w:val="Rec_title"/>
    <w:basedOn w:val="Normal"/>
    <w:next w:val="Normalaftertitle"/>
    <w:rsid w:val="00F57767"/>
    <w:pPr>
      <w:keepNext/>
      <w:keepLines/>
      <w:spacing w:before="360"/>
      <w:jc w:val="center"/>
    </w:pPr>
    <w:rPr>
      <w:b/>
      <w:sz w:val="28"/>
    </w:rPr>
  </w:style>
  <w:style w:type="paragraph" w:customStyle="1" w:styleId="Recref">
    <w:name w:val="Rec_ref"/>
    <w:basedOn w:val="Normal"/>
    <w:next w:val="Recdate"/>
    <w:rsid w:val="00F57767"/>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57767"/>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57767"/>
  </w:style>
  <w:style w:type="paragraph" w:customStyle="1" w:styleId="QuestionNo">
    <w:name w:val="Question_No"/>
    <w:basedOn w:val="RecNo"/>
    <w:next w:val="Questiontitle"/>
    <w:rsid w:val="00F57767"/>
  </w:style>
  <w:style w:type="paragraph" w:customStyle="1" w:styleId="Questiontitle">
    <w:name w:val="Question_title"/>
    <w:basedOn w:val="Rectitle"/>
    <w:next w:val="Questionref"/>
    <w:rsid w:val="00F57767"/>
  </w:style>
  <w:style w:type="paragraph" w:customStyle="1" w:styleId="Questionref">
    <w:name w:val="Question_ref"/>
    <w:basedOn w:val="Recref"/>
    <w:next w:val="Questiondate"/>
    <w:rsid w:val="00F57767"/>
  </w:style>
  <w:style w:type="paragraph" w:customStyle="1" w:styleId="Reftext">
    <w:name w:val="Ref_text"/>
    <w:basedOn w:val="Normal"/>
    <w:rsid w:val="00F57767"/>
    <w:pPr>
      <w:ind w:left="794" w:hanging="794"/>
    </w:pPr>
    <w:rPr>
      <w:sz w:val="22"/>
    </w:rPr>
  </w:style>
  <w:style w:type="paragraph" w:customStyle="1" w:styleId="Reftitle">
    <w:name w:val="Ref_title"/>
    <w:basedOn w:val="Normal"/>
    <w:next w:val="Reftext"/>
    <w:rsid w:val="00F57767"/>
    <w:pPr>
      <w:spacing w:before="480"/>
      <w:jc w:val="center"/>
    </w:pPr>
    <w:rPr>
      <w:b/>
      <w:sz w:val="28"/>
    </w:rPr>
  </w:style>
  <w:style w:type="paragraph" w:customStyle="1" w:styleId="Repdate">
    <w:name w:val="Rep_date"/>
    <w:basedOn w:val="Recdate"/>
    <w:next w:val="Normalaftertitle"/>
    <w:rsid w:val="00F57767"/>
  </w:style>
  <w:style w:type="paragraph" w:customStyle="1" w:styleId="RepNo">
    <w:name w:val="Rep_No"/>
    <w:basedOn w:val="RecNo"/>
    <w:next w:val="Reptitle"/>
    <w:rsid w:val="00F57767"/>
  </w:style>
  <w:style w:type="paragraph" w:customStyle="1" w:styleId="Reptitle">
    <w:name w:val="Rep_title"/>
    <w:basedOn w:val="Rectitle"/>
    <w:next w:val="Repref"/>
    <w:rsid w:val="00F57767"/>
  </w:style>
  <w:style w:type="paragraph" w:customStyle="1" w:styleId="Repref">
    <w:name w:val="Rep_ref"/>
    <w:basedOn w:val="Recref"/>
    <w:next w:val="Repdate"/>
    <w:rsid w:val="00F57767"/>
  </w:style>
  <w:style w:type="paragraph" w:customStyle="1" w:styleId="Resdate">
    <w:name w:val="Res_date"/>
    <w:basedOn w:val="Recdate"/>
    <w:next w:val="Normalaftertitle"/>
    <w:rsid w:val="00F57767"/>
  </w:style>
  <w:style w:type="paragraph" w:customStyle="1" w:styleId="ResNo">
    <w:name w:val="Res_No"/>
    <w:basedOn w:val="RecNo"/>
    <w:next w:val="Restitle"/>
    <w:rsid w:val="00F57767"/>
  </w:style>
  <w:style w:type="paragraph" w:customStyle="1" w:styleId="Restitle">
    <w:name w:val="Res_title"/>
    <w:basedOn w:val="Rectitle"/>
    <w:next w:val="Resref"/>
    <w:rsid w:val="00F57767"/>
  </w:style>
  <w:style w:type="paragraph" w:customStyle="1" w:styleId="Resref">
    <w:name w:val="Res_ref"/>
    <w:basedOn w:val="Recref"/>
    <w:next w:val="Resdate"/>
    <w:rsid w:val="00F57767"/>
  </w:style>
  <w:style w:type="paragraph" w:customStyle="1" w:styleId="SectionNo">
    <w:name w:val="Section_No"/>
    <w:basedOn w:val="Normal"/>
    <w:next w:val="Sectiontitle"/>
    <w:rsid w:val="00F57767"/>
    <w:pPr>
      <w:keepNext/>
      <w:keepLines/>
      <w:spacing w:before="480" w:after="80"/>
      <w:jc w:val="center"/>
    </w:pPr>
    <w:rPr>
      <w:caps/>
      <w:sz w:val="28"/>
    </w:rPr>
  </w:style>
  <w:style w:type="paragraph" w:customStyle="1" w:styleId="Sectiontitle">
    <w:name w:val="Section_title"/>
    <w:basedOn w:val="Normal"/>
    <w:next w:val="Normalaftertitle"/>
    <w:rsid w:val="00F57767"/>
    <w:pPr>
      <w:keepNext/>
      <w:keepLines/>
      <w:spacing w:before="480" w:after="280"/>
      <w:jc w:val="center"/>
    </w:pPr>
    <w:rPr>
      <w:b/>
      <w:sz w:val="28"/>
    </w:rPr>
  </w:style>
  <w:style w:type="paragraph" w:customStyle="1" w:styleId="Source">
    <w:name w:val="Source"/>
    <w:basedOn w:val="Normal"/>
    <w:next w:val="Normalaftertitle"/>
    <w:rsid w:val="00F57767"/>
    <w:pPr>
      <w:spacing w:before="840" w:after="200"/>
      <w:jc w:val="center"/>
    </w:pPr>
    <w:rPr>
      <w:b/>
      <w:sz w:val="28"/>
    </w:rPr>
  </w:style>
  <w:style w:type="paragraph" w:customStyle="1" w:styleId="SpecialFooter">
    <w:name w:val="Special Footer"/>
    <w:basedOn w:val="Footer"/>
    <w:rsid w:val="00F57767"/>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uiPriority w:val="99"/>
    <w:rsid w:val="00F5776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F5776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uiPriority w:val="99"/>
    <w:rsid w:val="00F57767"/>
    <w:pPr>
      <w:keepNext/>
      <w:spacing w:before="560" w:after="120"/>
      <w:jc w:val="center"/>
    </w:pPr>
    <w:rPr>
      <w:caps/>
    </w:rPr>
  </w:style>
  <w:style w:type="paragraph" w:customStyle="1" w:styleId="Tabletitle">
    <w:name w:val="Table_title"/>
    <w:basedOn w:val="Normal"/>
    <w:next w:val="Tablehead"/>
    <w:link w:val="TabletitleChar"/>
    <w:uiPriority w:val="99"/>
    <w:rsid w:val="00F57767"/>
    <w:pPr>
      <w:keepNext/>
      <w:keepLines/>
      <w:spacing w:before="0" w:after="120"/>
      <w:jc w:val="center"/>
    </w:pPr>
    <w:rPr>
      <w:b/>
    </w:rPr>
  </w:style>
  <w:style w:type="paragraph" w:customStyle="1" w:styleId="Tableref">
    <w:name w:val="Table_ref"/>
    <w:basedOn w:val="Normal"/>
    <w:next w:val="Tabletitle"/>
    <w:rsid w:val="00F57767"/>
    <w:pPr>
      <w:keepNext/>
      <w:spacing w:before="0" w:after="120"/>
      <w:jc w:val="center"/>
    </w:pPr>
  </w:style>
  <w:style w:type="paragraph" w:customStyle="1" w:styleId="Title1">
    <w:name w:val="Title 1"/>
    <w:basedOn w:val="Source"/>
    <w:next w:val="Title2"/>
    <w:rsid w:val="00F5776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57767"/>
  </w:style>
  <w:style w:type="paragraph" w:customStyle="1" w:styleId="Title3">
    <w:name w:val="Title 3"/>
    <w:basedOn w:val="Title2"/>
    <w:next w:val="Title4"/>
    <w:rsid w:val="00F57767"/>
    <w:rPr>
      <w:caps w:val="0"/>
    </w:rPr>
  </w:style>
  <w:style w:type="paragraph" w:customStyle="1" w:styleId="Title4">
    <w:name w:val="Title 4"/>
    <w:basedOn w:val="Title3"/>
    <w:next w:val="Heading1"/>
    <w:rsid w:val="00F57767"/>
    <w:rPr>
      <w:b/>
    </w:rPr>
  </w:style>
  <w:style w:type="paragraph" w:customStyle="1" w:styleId="toc0">
    <w:name w:val="toc 0"/>
    <w:basedOn w:val="Normal"/>
    <w:next w:val="TOC1"/>
    <w:rsid w:val="00F57767"/>
    <w:pPr>
      <w:tabs>
        <w:tab w:val="clear" w:pos="794"/>
        <w:tab w:val="clear" w:pos="1191"/>
        <w:tab w:val="clear" w:pos="1588"/>
        <w:tab w:val="clear" w:pos="1985"/>
        <w:tab w:val="right" w:pos="9639"/>
      </w:tabs>
    </w:pPr>
    <w:rPr>
      <w:b/>
    </w:rPr>
  </w:style>
  <w:style w:type="paragraph" w:styleId="TOC1">
    <w:name w:val="toc 1"/>
    <w:basedOn w:val="Normal"/>
    <w:semiHidden/>
    <w:rsid w:val="00F57767"/>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57767"/>
    <w:pPr>
      <w:spacing w:before="80"/>
      <w:ind w:left="1531" w:hanging="851"/>
    </w:pPr>
  </w:style>
  <w:style w:type="paragraph" w:styleId="TOC3">
    <w:name w:val="toc 3"/>
    <w:basedOn w:val="TOC2"/>
    <w:semiHidden/>
    <w:rsid w:val="00F57767"/>
  </w:style>
  <w:style w:type="paragraph" w:styleId="TOC4">
    <w:name w:val="toc 4"/>
    <w:basedOn w:val="TOC3"/>
    <w:semiHidden/>
    <w:rsid w:val="00F57767"/>
  </w:style>
  <w:style w:type="paragraph" w:styleId="TOC5">
    <w:name w:val="toc 5"/>
    <w:basedOn w:val="TOC4"/>
    <w:semiHidden/>
    <w:rsid w:val="00F57767"/>
  </w:style>
  <w:style w:type="paragraph" w:styleId="TOC6">
    <w:name w:val="toc 6"/>
    <w:basedOn w:val="TOC4"/>
    <w:semiHidden/>
    <w:rsid w:val="00F57767"/>
  </w:style>
  <w:style w:type="paragraph" w:styleId="TOC7">
    <w:name w:val="toc 7"/>
    <w:basedOn w:val="TOC4"/>
    <w:semiHidden/>
    <w:rsid w:val="00F57767"/>
  </w:style>
  <w:style w:type="paragraph" w:styleId="TOC8">
    <w:name w:val="toc 8"/>
    <w:basedOn w:val="TOC4"/>
    <w:semiHidden/>
    <w:rsid w:val="00F57767"/>
  </w:style>
  <w:style w:type="character" w:customStyle="1" w:styleId="Appdef">
    <w:name w:val="App_def"/>
    <w:basedOn w:val="DefaultParagraphFont"/>
    <w:rsid w:val="00F57767"/>
    <w:rPr>
      <w:rFonts w:ascii="Times New Roman" w:hAnsi="Times New Roman"/>
      <w:b/>
    </w:rPr>
  </w:style>
  <w:style w:type="character" w:customStyle="1" w:styleId="Appref">
    <w:name w:val="App_ref"/>
    <w:basedOn w:val="DefaultParagraphFont"/>
    <w:rsid w:val="00F57767"/>
  </w:style>
  <w:style w:type="character" w:customStyle="1" w:styleId="Artdef">
    <w:name w:val="Art_def"/>
    <w:basedOn w:val="DefaultParagraphFont"/>
    <w:rsid w:val="00F57767"/>
    <w:rPr>
      <w:rFonts w:ascii="Times New Roman" w:hAnsi="Times New Roman"/>
      <w:b/>
    </w:rPr>
  </w:style>
  <w:style w:type="character" w:customStyle="1" w:styleId="Artref">
    <w:name w:val="Art_ref"/>
    <w:basedOn w:val="DefaultParagraphFont"/>
    <w:rsid w:val="00F57767"/>
  </w:style>
  <w:style w:type="character" w:customStyle="1" w:styleId="Recdef">
    <w:name w:val="Rec_def"/>
    <w:basedOn w:val="DefaultParagraphFont"/>
    <w:rsid w:val="00F57767"/>
    <w:rPr>
      <w:b/>
    </w:rPr>
  </w:style>
  <w:style w:type="character" w:customStyle="1" w:styleId="Resdef">
    <w:name w:val="Res_def"/>
    <w:basedOn w:val="DefaultParagraphFont"/>
    <w:rsid w:val="00F57767"/>
    <w:rPr>
      <w:rFonts w:ascii="Times New Roman" w:hAnsi="Times New Roman"/>
      <w:b/>
    </w:rPr>
  </w:style>
  <w:style w:type="character" w:customStyle="1" w:styleId="Tablefreq">
    <w:name w:val="Table_freq"/>
    <w:basedOn w:val="DefaultParagraphFont"/>
    <w:rsid w:val="00F57767"/>
    <w:rPr>
      <w:b/>
      <w:color w:val="auto"/>
    </w:rPr>
  </w:style>
  <w:style w:type="paragraph" w:customStyle="1" w:styleId="Formal">
    <w:name w:val="Formal"/>
    <w:basedOn w:val="ASN1"/>
    <w:rsid w:val="00F57767"/>
    <w:rPr>
      <w:b w:val="0"/>
    </w:rPr>
  </w:style>
  <w:style w:type="paragraph" w:customStyle="1" w:styleId="Section1">
    <w:name w:val="Section_1"/>
    <w:basedOn w:val="Normal"/>
    <w:next w:val="Normal"/>
    <w:rsid w:val="00F57767"/>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F57767"/>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rsid w:val="00F57767"/>
    <w:pPr>
      <w:keepNext/>
      <w:spacing w:before="160"/>
    </w:pPr>
    <w:rPr>
      <w:i/>
    </w:rPr>
  </w:style>
  <w:style w:type="paragraph" w:customStyle="1" w:styleId="Headingb">
    <w:name w:val="Heading_b"/>
    <w:basedOn w:val="Normal"/>
    <w:next w:val="Normal"/>
    <w:link w:val="HeadingbChar"/>
    <w:uiPriority w:val="99"/>
    <w:rsid w:val="00F57767"/>
    <w:pPr>
      <w:keepNext/>
      <w:spacing w:before="160"/>
    </w:pPr>
    <w:rPr>
      <w:b/>
    </w:rPr>
  </w:style>
  <w:style w:type="paragraph" w:customStyle="1" w:styleId="Figure">
    <w:name w:val="Figure"/>
    <w:basedOn w:val="Normal"/>
    <w:next w:val="Normal"/>
    <w:rsid w:val="00F57767"/>
    <w:pPr>
      <w:keepNext/>
      <w:keepLines/>
      <w:spacing w:before="240" w:after="120"/>
      <w:jc w:val="center"/>
    </w:pPr>
  </w:style>
  <w:style w:type="character" w:styleId="PageNumber">
    <w:name w:val="page number"/>
    <w:basedOn w:val="DefaultParagraphFont"/>
    <w:rsid w:val="00F57767"/>
  </w:style>
  <w:style w:type="paragraph" w:customStyle="1" w:styleId="Figuretitle">
    <w:name w:val="Figure_title"/>
    <w:basedOn w:val="Tabletitle"/>
    <w:next w:val="Normal"/>
    <w:rsid w:val="00F57767"/>
    <w:pPr>
      <w:keepNext w:val="0"/>
    </w:pPr>
  </w:style>
  <w:style w:type="paragraph" w:customStyle="1" w:styleId="FigureNo">
    <w:name w:val="Figure_No"/>
    <w:basedOn w:val="Normal"/>
    <w:next w:val="Figuretitle"/>
    <w:rsid w:val="00F57767"/>
    <w:pPr>
      <w:keepNext/>
      <w:keepLines/>
      <w:spacing w:before="480" w:after="120"/>
      <w:jc w:val="center"/>
    </w:pPr>
    <w:rPr>
      <w:cap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uiPriority w:val="99"/>
    <w:locked/>
    <w:rsid w:val="00961B94"/>
    <w:rPr>
      <w:sz w:val="22"/>
      <w:lang w:val="en-GB" w:eastAsia="en-US" w:bidi="ar-SA"/>
    </w:rPr>
  </w:style>
  <w:style w:type="character" w:styleId="LineNumber">
    <w:name w:val="line number"/>
    <w:basedOn w:val="DefaultParagraphFont"/>
    <w:rsid w:val="00F97C5B"/>
  </w:style>
  <w:style w:type="paragraph" w:styleId="BalloonText">
    <w:name w:val="Balloon Text"/>
    <w:basedOn w:val="Normal"/>
    <w:link w:val="BalloonTextChar"/>
    <w:rsid w:val="00B81FD2"/>
    <w:pPr>
      <w:spacing w:before="0"/>
    </w:pPr>
    <w:rPr>
      <w:rFonts w:ascii="Tahoma" w:hAnsi="Tahoma" w:cs="Tahoma"/>
      <w:sz w:val="16"/>
      <w:szCs w:val="16"/>
    </w:rPr>
  </w:style>
  <w:style w:type="character" w:customStyle="1" w:styleId="BalloonTextChar">
    <w:name w:val="Balloon Text Char"/>
    <w:basedOn w:val="DefaultParagraphFont"/>
    <w:link w:val="BalloonText"/>
    <w:rsid w:val="00B81FD2"/>
    <w:rPr>
      <w:rFonts w:ascii="Tahoma" w:hAnsi="Tahoma" w:cs="Tahoma"/>
      <w:sz w:val="16"/>
      <w:szCs w:val="16"/>
      <w:lang w:val="en-GB" w:eastAsia="en-US"/>
    </w:rPr>
  </w:style>
  <w:style w:type="character" w:styleId="Hyperlink">
    <w:name w:val="Hyperlink"/>
    <w:basedOn w:val="DefaultParagraphFont"/>
    <w:uiPriority w:val="99"/>
    <w:unhideWhenUsed/>
    <w:rsid w:val="009E52B2"/>
    <w:rPr>
      <w:rFonts w:ascii="Times New Roman" w:hAnsi="Times New Roman" w:cs="Times New Roman" w:hint="default"/>
      <w:color w:val="0000FF"/>
      <w:u w:val="single"/>
    </w:rPr>
  </w:style>
  <w:style w:type="character" w:customStyle="1" w:styleId="NormalaftertitleChar">
    <w:name w:val="Normal_after_title Char"/>
    <w:basedOn w:val="DefaultParagraphFont"/>
    <w:link w:val="Normalaftertitle"/>
    <w:uiPriority w:val="99"/>
    <w:locked/>
    <w:rsid w:val="009E52B2"/>
    <w:rPr>
      <w:rFonts w:ascii="Times New Roman" w:hAnsi="Times New Roman"/>
      <w:sz w:val="24"/>
      <w:lang w:val="en-GB" w:eastAsia="en-US"/>
    </w:rPr>
  </w:style>
  <w:style w:type="character" w:customStyle="1" w:styleId="NoteChar">
    <w:name w:val="Note Char"/>
    <w:basedOn w:val="DefaultParagraphFont"/>
    <w:link w:val="Note"/>
    <w:uiPriority w:val="99"/>
    <w:locked/>
    <w:rsid w:val="009E52B2"/>
    <w:rPr>
      <w:rFonts w:ascii="Times New Roman" w:hAnsi="Times New Roman"/>
      <w:sz w:val="22"/>
      <w:lang w:val="en-GB" w:eastAsia="en-US"/>
    </w:rPr>
  </w:style>
  <w:style w:type="character" w:customStyle="1" w:styleId="TableNoChar">
    <w:name w:val="Table_No Char"/>
    <w:basedOn w:val="DefaultParagraphFont"/>
    <w:link w:val="TableNo"/>
    <w:uiPriority w:val="99"/>
    <w:locked/>
    <w:rsid w:val="009E52B2"/>
    <w:rPr>
      <w:rFonts w:ascii="Times New Roman" w:hAnsi="Times New Roman"/>
      <w:caps/>
      <w:sz w:val="24"/>
      <w:lang w:val="en-GB" w:eastAsia="en-US"/>
    </w:rPr>
  </w:style>
  <w:style w:type="character" w:customStyle="1" w:styleId="TabletitleChar">
    <w:name w:val="Table_title Char"/>
    <w:basedOn w:val="DefaultParagraphFont"/>
    <w:link w:val="Tabletitle"/>
    <w:uiPriority w:val="99"/>
    <w:locked/>
    <w:rsid w:val="009E52B2"/>
    <w:rPr>
      <w:rFonts w:ascii="Times New Roman" w:hAnsi="Times New Roman"/>
      <w:b/>
      <w:sz w:val="24"/>
      <w:lang w:val="en-GB" w:eastAsia="en-US"/>
    </w:rPr>
  </w:style>
  <w:style w:type="character" w:customStyle="1" w:styleId="HeadingbChar">
    <w:name w:val="Heading_b Char"/>
    <w:basedOn w:val="DefaultParagraphFont"/>
    <w:link w:val="Headingb"/>
    <w:uiPriority w:val="99"/>
    <w:locked/>
    <w:rsid w:val="009E52B2"/>
    <w:rPr>
      <w:rFonts w:ascii="Times New Roman" w:hAnsi="Times New Roman"/>
      <w:b/>
      <w:sz w:val="24"/>
      <w:lang w:val="en-GB" w:eastAsia="en-US"/>
    </w:rPr>
  </w:style>
  <w:style w:type="paragraph" w:customStyle="1" w:styleId="Annextitle">
    <w:name w:val="Annex_title"/>
    <w:basedOn w:val="Normal"/>
    <w:next w:val="Normal"/>
    <w:uiPriority w:val="99"/>
    <w:rsid w:val="009E52B2"/>
    <w:pPr>
      <w:keepNext/>
      <w:keepLines/>
      <w:tabs>
        <w:tab w:val="clear" w:pos="794"/>
        <w:tab w:val="clear" w:pos="1191"/>
        <w:tab w:val="clear" w:pos="1588"/>
        <w:tab w:val="clear" w:pos="1985"/>
        <w:tab w:val="left" w:pos="1134"/>
        <w:tab w:val="left" w:pos="1871"/>
        <w:tab w:val="left" w:pos="2268"/>
      </w:tabs>
      <w:spacing w:before="240" w:after="280"/>
      <w:jc w:val="center"/>
      <w:textAlignment w:val="auto"/>
    </w:pPr>
    <w:rPr>
      <w:rFonts w:ascii="Times New Roman Bold" w:hAnsi="Times New Roman Bold"/>
      <w:b/>
      <w:sz w:val="28"/>
    </w:rPr>
  </w:style>
  <w:style w:type="paragraph" w:styleId="ListParagraph">
    <w:name w:val="List Paragraph"/>
    <w:basedOn w:val="Normal"/>
    <w:uiPriority w:val="34"/>
    <w:qFormat/>
    <w:rsid w:val="009E52B2"/>
    <w:pPr>
      <w:ind w:left="720"/>
      <w:contextualSpacing/>
    </w:pPr>
  </w:style>
</w:styles>
</file>

<file path=word/webSettings.xml><?xml version="1.0" encoding="utf-8"?>
<w:webSettings xmlns:r="http://schemas.openxmlformats.org/officeDocument/2006/relationships" xmlns:w="http://schemas.openxmlformats.org/wordprocessingml/2006/main">
  <w:divs>
    <w:div w:id="51427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itudoc/itu-r/sg8/lcce/095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tu.int/events/upcomingevents.asp?sector=ITU-R&amp;lang=en" TargetMode="External"/><Relationship Id="rId17" Type="http://schemas.openxmlformats.org/officeDocument/2006/relationships/hyperlink" Target="mailto:colin.langtry@itu.int" TargetMode="External"/><Relationship Id="rId2" Type="http://schemas.openxmlformats.org/officeDocument/2006/relationships/customXml" Target="../customXml/item2.xml"/><Relationship Id="rId16" Type="http://schemas.openxmlformats.org/officeDocument/2006/relationships/hyperlink" Target="http://www.itu.int/osg/imt-project/docs/001r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tu.int/osg/imt-project/docs/002r1.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vents/monthlyagenda.asp?la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49404B91EB243A52E4C18B0AD6E78" ma:contentTypeVersion="3" ma:contentTypeDescription="Create a new document." ma:contentTypeScope="" ma:versionID="bb1420019f8b722f7d8dd0b867cc8552">
  <xsd:schema xmlns:xsd="http://www.w3.org/2001/XMLSchema" xmlns:p="http://schemas.microsoft.com/office/2006/metadata/properties" xmlns:ns2="4c6a61cb-1973-4fc6-92ae-f4d7a4471404" xmlns:ns3="1a029cd6-340b-4c4d-a48a-2df986580122" targetNamespace="http://schemas.microsoft.com/office/2006/metadata/properties" ma:root="true" ma:fieldsID="36c264ee605c7e7b0407ee4c85aa698a" ns2:_="" ns3:_="">
    <xsd:import namespace="4c6a61cb-1973-4fc6-92ae-f4d7a4471404"/>
    <xsd:import namespace="1a029cd6-340b-4c4d-a48a-2df986580122"/>
    <xsd:element name="properties">
      <xsd:complexType>
        <xsd:sequence>
          <xsd:element name="documentManagement">
            <xsd:complexType>
              <xsd:all>
                <xsd:element ref="ns2:Comments" minOccurs="0"/>
                <xsd:element ref="ns3:Source" minOccurs="0"/>
              </xsd:all>
            </xsd:complexType>
          </xsd:element>
        </xsd:sequence>
      </xsd:complexType>
    </xsd:element>
  </xsd:schema>
  <xsd:schema xmlns:xsd="http://www.w3.org/2001/XMLSchema" xmlns:dms="http://schemas.microsoft.com/office/2006/documentManagement/types" targetNamespace="4c6a61cb-1973-4fc6-92ae-f4d7a4471404" elementFormDefault="qualified">
    <xsd:import namespace="http://schemas.microsoft.com/office/2006/documentManagement/types"/>
    <xsd:element name="Comments" ma:index="8" nillable="true" ma:displayName="Comments" ma:internalName="Comments">
      <xsd:simpleType>
        <xsd:restriction base="dms:Text">
          <xsd:maxLength value="255"/>
        </xsd:restriction>
      </xsd:simpleType>
    </xsd:element>
  </xsd:schema>
  <xsd:schema xmlns:xsd="http://www.w3.org/2001/XMLSchema" xmlns:dms="http://schemas.microsoft.com/office/2006/documentManagement/types" targetNamespace="1a029cd6-340b-4c4d-a48a-2df986580122" elementFormDefault="qualified">
    <xsd:import namespace="http://schemas.microsoft.com/office/2006/documentManagement/types"/>
    <xsd:element name="Source" ma:index="9" nillable="true" ma:displayName="Source" ma:internalName="Sour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1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omments xmlns="4c6a61cb-1973-4fc6-92ae-f4d7a4471404" xsi:nil="true"/>
    <Source xmlns="1a029cd6-340b-4c4d-a48a-2df986580122">SWG IMT Specifications</Sour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D5CA4-F8C3-4B07-B514-3EB5F359A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1a029cd6-340b-4c4d-a48a-2df98658012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20E5953-3BAB-4D4B-87C2-8F153829B3CF}">
  <ds:schemaRefs>
    <ds:schemaRef ds:uri="http://schemas.microsoft.com/sharepoint/v3/contenttype/forms"/>
  </ds:schemaRefs>
</ds:datastoreItem>
</file>

<file path=customXml/itemProps3.xml><?xml version="1.0" encoding="utf-8"?>
<ds:datastoreItem xmlns:ds="http://schemas.openxmlformats.org/officeDocument/2006/customXml" ds:itemID="{B4976783-9541-4FB9-B65C-63C72F0F47BC}">
  <ds:schemaRefs>
    <ds:schemaRef ds:uri="http://schemas.microsoft.com/office/2006/metadata/properties"/>
    <ds:schemaRef ds:uri="4c6a61cb-1973-4fc6-92ae-f4d7a4471404"/>
    <ds:schemaRef ds:uri="1a029cd6-340b-4c4d-a48a-2df986580122"/>
  </ds:schemaRefs>
</ds:datastoreItem>
</file>

<file path=customXml/itemProps4.xml><?xml version="1.0" encoding="utf-8"?>
<ds:datastoreItem xmlns:ds="http://schemas.openxmlformats.org/officeDocument/2006/customXml" ds:itemID="{E7BBF652-D8E1-4997-9989-5908976A7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Template>
  <TotalTime>11</TotalTime>
  <Pages>1</Pages>
  <Words>1347</Words>
  <Characters>7468</Characters>
  <Application>Microsoft Office Word</Application>
  <DocSecurity>0</DocSecurity>
  <Lines>177</Lines>
  <Paragraphs>90</Paragraphs>
  <ScaleCrop>false</ScaleCrop>
  <HeadingPairs>
    <vt:vector size="2" baseType="variant">
      <vt:variant>
        <vt:lpstr>Title</vt:lpstr>
      </vt:variant>
      <vt:variant>
        <vt:i4>1</vt:i4>
      </vt:variant>
    </vt:vector>
  </HeadingPairs>
  <TitlesOfParts>
    <vt:vector size="1" baseType="lpstr">
      <vt:lpstr>TEST 2</vt:lpstr>
    </vt:vector>
  </TitlesOfParts>
  <Manager>BR</Manager>
  <Company>International Telecommunication Union (ITU)</Company>
  <LinksUpToDate>false</LinksUpToDate>
  <CharactersWithSpaces>8725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LIAISON STATEMENT TO EXTERNAL ORGANIZATIONS ON THE SCHEDULE FOR UPDATING RECOMMENDATION ITU-R M.1457-10 TO REVISION 11</dc:title>
  <dc:subject/>
  <dc:creator>Working Party 5D</dc:creator>
  <cp:keywords/>
  <dc:description>Saved by BRP107194 at 08:42:55 on 25.03.2010</dc:description>
  <cp:lastModifiedBy>langtry</cp:lastModifiedBy>
  <cp:revision>3</cp:revision>
  <cp:lastPrinted>2010-10-18T00:55:00Z</cp:lastPrinted>
  <dcterms:created xsi:type="dcterms:W3CDTF">2010-11-12T11:28:00Z</dcterms:created>
  <dcterms:modified xsi:type="dcterms:W3CDTF">2010-11-15T18:01:00Z</dcterms:modified>
  <cp:category/>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0x010100E1449404B91EB243A52E4C18B0AD6E78</vt:lpwstr>
  </property>
</Properties>
</file>