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59" w:rsidRPr="00E50D59" w:rsidRDefault="00E50D59">
      <w:pPr>
        <w:rPr>
          <w:b/>
        </w:rPr>
      </w:pPr>
      <w:r w:rsidRPr="00E50D59">
        <w:rPr>
          <w:b/>
        </w:rPr>
        <w:t>4.2.2 Bandwidth demand forecasting.</w:t>
      </w:r>
    </w:p>
    <w:p w:rsidR="00806E37" w:rsidRDefault="00536395">
      <w:r>
        <w:t xml:space="preserve">The bandwidth requirement on a </w:t>
      </w:r>
      <w:r w:rsidR="0094638E">
        <w:t>TDM</w:t>
      </w:r>
      <w:r>
        <w:t xml:space="preserve"> PON is a function of the aggregated bandwidth demand of all the subscribers on that PON.  Ref. [1] describes a statistical model that forecasts aggregate residential downstream bandwidth demands.  Since it is not possible to predict the future with certainty, </w:t>
      </w:r>
      <w:r w:rsidR="004B4F7C">
        <w:t>it</w:t>
      </w:r>
      <w:r>
        <w:t xml:space="preserve"> attempt</w:t>
      </w:r>
      <w:r w:rsidR="004B4F7C">
        <w:t>s</w:t>
      </w:r>
      <w:r>
        <w:t xml:space="preserve"> to bound the forecast with a “moderate” set of inputs and a “heavy” set of inputs.  The </w:t>
      </w:r>
      <w:r w:rsidR="005F536E">
        <w:t>heavy inputs, in relation to the moderate inputs, assume more</w:t>
      </w:r>
      <w:r>
        <w:t xml:space="preserve"> video displays per home, relatively </w:t>
      </w:r>
      <w:r w:rsidR="005F536E">
        <w:t>higher</w:t>
      </w:r>
      <w:r>
        <w:t xml:space="preserve"> penetration of HD and UHD displays and availability of HD and UHD content</w:t>
      </w:r>
      <w:r w:rsidR="005F536E">
        <w:t xml:space="preserve">, lighter video compression for improved video quality, and larger and faster growing burst traffic.  In both cases, it is most appropriate for NG EPON to support the </w:t>
      </w:r>
      <w:r w:rsidR="00E50D59">
        <w:t>end-game</w:t>
      </w:r>
      <w:r w:rsidR="005F536E">
        <w:t xml:space="preserve"> where all video traffic, including all live linear TV</w:t>
      </w:r>
      <w:r w:rsidR="007A101B">
        <w:t>, is unicasted in band.  Peak hour r</w:t>
      </w:r>
      <w:r w:rsidR="005F536E">
        <w:t>esults for both the moderate and heavy scenarios are presented in Figure 4.2.2.1.</w:t>
      </w:r>
      <w:r w:rsidR="0094638E">
        <w:t xml:space="preserve">  By far, most of the demand results from managed plus OTT video traffic.</w:t>
      </w:r>
    </w:p>
    <w:p w:rsidR="00806E37" w:rsidRDefault="00806E37">
      <w:r w:rsidRPr="00806E37">
        <w:rPr>
          <w:noProof/>
        </w:rPr>
        <w:drawing>
          <wp:inline distT="0" distB="0" distL="0" distR="0">
            <wp:extent cx="5943600" cy="2445385"/>
            <wp:effectExtent l="19050" t="0" r="0" b="0"/>
            <wp:docPr id="10" name="Objec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3761601"/>
                      <a:chOff x="0" y="1447800"/>
                      <a:chExt cx="9144000" cy="3761601"/>
                    </a:xfrm>
                  </a:grpSpPr>
                  <a:pic>
                    <a:nvPicPr>
                      <a:cNvPr id="18436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4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1447800"/>
                        <a:ext cx="4451381" cy="3276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8437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5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692619" y="1447800"/>
                        <a:ext cx="4451381" cy="3276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616950" y="4840069"/>
                        <a:ext cx="307834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(a) moderate demand scenario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5213923" y="4840069"/>
                        <a:ext cx="272613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(b) heavy demand scenario</a:t>
                          </a:r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F536E" w:rsidRPr="005652B3" w:rsidRDefault="005F536E" w:rsidP="005F536E">
      <w:pPr>
        <w:pStyle w:val="Caption"/>
        <w:jc w:val="center"/>
        <w:rPr>
          <w:lang w:val="en-US"/>
        </w:rPr>
      </w:pPr>
      <w:r>
        <w:t xml:space="preserve">Figure 4.2.2.1. </w:t>
      </w:r>
      <w:r w:rsidRPr="005652B3">
        <w:t>Forecasted demand vs. the number of aggregated subscribers</w:t>
      </w:r>
    </w:p>
    <w:p w:rsidR="007A101B" w:rsidRDefault="007A101B" w:rsidP="007A101B">
      <w:r w:rsidRPr="007A101B">
        <w:t xml:space="preserve">For PON network dimensioning, </w:t>
      </w:r>
      <w:r>
        <w:t xml:space="preserve">it is necessary to </w:t>
      </w:r>
      <w:r w:rsidRPr="007A101B">
        <w:t>add bandwidth headroom above these numbers, equivalent to the maximum service level offered</w:t>
      </w:r>
      <w:r>
        <w:t>.  This is because</w:t>
      </w:r>
      <w:r w:rsidRPr="007A101B">
        <w:t xml:space="preserve"> subscribers will </w:t>
      </w:r>
      <w:r w:rsidR="004B4F7C">
        <w:t>expect</w:t>
      </w:r>
      <w:r w:rsidR="004B4F7C" w:rsidRPr="007A101B">
        <w:t xml:space="preserve"> </w:t>
      </w:r>
      <w:r w:rsidRPr="007A101B">
        <w:t xml:space="preserve">to pass a </w:t>
      </w:r>
      <w:r>
        <w:t xml:space="preserve">speed test </w:t>
      </w:r>
      <w:r w:rsidR="004B4F7C">
        <w:t>even during</w:t>
      </w:r>
      <w:r>
        <w:t xml:space="preserve"> peak hour traffic.  For example, in the heavy scenario, for 32 subscribers on a </w:t>
      </w:r>
      <w:r w:rsidR="00E50D59">
        <w:t xml:space="preserve">TDM </w:t>
      </w:r>
      <w:r>
        <w:t xml:space="preserve">PON, there will be approximately 1 Gb/s of downstream peak hour traffic in the year 2024.  If 1 Gb/s service is to be offered over this PON, then </w:t>
      </w:r>
      <w:r w:rsidR="00D22DD3">
        <w:t xml:space="preserve">1 Gb/s of additional bandwidth headroom is required, for a total required </w:t>
      </w:r>
      <w:r w:rsidR="0094638E">
        <w:t xml:space="preserve">downstream </w:t>
      </w:r>
      <w:r>
        <w:t>bandwidth</w:t>
      </w:r>
      <w:r w:rsidR="00D22DD3">
        <w:t xml:space="preserve"> of 2 Gb/s</w:t>
      </w:r>
      <w:r>
        <w:t>.</w:t>
      </w:r>
    </w:p>
    <w:p w:rsidR="00D22DD3" w:rsidRDefault="00D22DD3" w:rsidP="00D22DD3">
      <w:r>
        <w:t xml:space="preserve">From the above results it is clear that 10G PON and even GPON FTTH systems can meet residential video bandwidth demand </w:t>
      </w:r>
      <w:r w:rsidR="00110018">
        <w:t xml:space="preserve">with a 1 Gb/s service </w:t>
      </w:r>
      <w:r>
        <w:t>for a long time.  Obviously the same can be said for WDM PON FTTH systems (with dedicated 1 Gb/s per subscriber or more).   There is no differentiation on this point between these FTTH technologies.</w:t>
      </w:r>
    </w:p>
    <w:p w:rsidR="00021C80" w:rsidRDefault="00D22DD3" w:rsidP="00021C80">
      <w:r>
        <w:t>Perhaps the most important capability that can be offered by NG EPON for residential services is the maximum service level that can be offered</w:t>
      </w:r>
      <w:r w:rsidR="00E50D59">
        <w:t>, and that is where differentiation can be found</w:t>
      </w:r>
      <w:r>
        <w:t xml:space="preserve">.  </w:t>
      </w:r>
      <w:r w:rsidR="00E50D59">
        <w:t>U</w:t>
      </w:r>
      <w:r>
        <w:t xml:space="preserve">sing the methodology in [2], the </w:t>
      </w:r>
      <w:r w:rsidR="007C4EBB">
        <w:t xml:space="preserve">increasing </w:t>
      </w:r>
      <w:r>
        <w:t xml:space="preserve">aggregate bandwidth demand </w:t>
      </w:r>
      <w:r w:rsidR="00021C80">
        <w:t xml:space="preserve">(from Figure 4.2.2.1) </w:t>
      </w:r>
      <w:r>
        <w:t xml:space="preserve">is subtracted </w:t>
      </w:r>
      <w:r>
        <w:lastRenderedPageBreak/>
        <w:t>from the offered bandwidth to yield the bandwidth headroom—which determines the maximum service level that can</w:t>
      </w:r>
      <w:r w:rsidR="00021C80">
        <w:t xml:space="preserve"> be offered (for WDM PON, bandwidth headroom is simply the per-wavelength bit rate minus the maximum assumed/supported streaming video bandwidth</w:t>
      </w:r>
      <w:r w:rsidR="00E50D59">
        <w:t xml:space="preserve"> of a single subscriber</w:t>
      </w:r>
      <w:r w:rsidR="00021C80">
        <w:t>).  The results are shown in Figure 4.2.2.2.</w:t>
      </w:r>
    </w:p>
    <w:p w:rsidR="00D22DD3" w:rsidRDefault="00021C80" w:rsidP="00021C80">
      <w:pPr>
        <w:jc w:val="center"/>
      </w:pPr>
      <w:r w:rsidRPr="00021C80">
        <w:rPr>
          <w:noProof/>
        </w:rPr>
        <w:drawing>
          <wp:inline distT="0" distB="0" distL="0" distR="0">
            <wp:extent cx="4546115" cy="2377440"/>
            <wp:effectExtent l="19050" t="0" r="683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035" cy="237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21C80" w:rsidRPr="005652B3" w:rsidRDefault="00021C80" w:rsidP="00021C80">
      <w:pPr>
        <w:pStyle w:val="Caption"/>
        <w:jc w:val="center"/>
        <w:rPr>
          <w:lang w:val="en-US"/>
        </w:rPr>
      </w:pPr>
      <w:r>
        <w:t xml:space="preserve">Figure 4.2.2.2. </w:t>
      </w:r>
      <w:r w:rsidRPr="00021C80">
        <w:t>Maximum service level that can be offered</w:t>
      </w:r>
    </w:p>
    <w:p w:rsidR="00D22DD3" w:rsidRDefault="00021C80" w:rsidP="009234A8">
      <w:r>
        <w:t xml:space="preserve">Roughly 1 Gb/s service level can be offered over </w:t>
      </w:r>
      <w:proofErr w:type="gramStart"/>
      <w:r>
        <w:t>both GPON</w:t>
      </w:r>
      <w:proofErr w:type="gramEnd"/>
      <w:r>
        <w:t xml:space="preserve"> and </w:t>
      </w:r>
      <w:r w:rsidR="00E50D59">
        <w:t xml:space="preserve">1Gb/s/wavelength </w:t>
      </w:r>
      <w:r>
        <w:t xml:space="preserve">WDM PON.  Roughly 10 </w:t>
      </w:r>
      <w:proofErr w:type="gramStart"/>
      <w:r>
        <w:t>Gb/</w:t>
      </w:r>
      <w:proofErr w:type="gramEnd"/>
      <w:r>
        <w:t xml:space="preserve">s service level can be offered over 10G </w:t>
      </w:r>
      <w:r w:rsidR="00490940">
        <w:t>E</w:t>
      </w:r>
      <w:r>
        <w:t>PON.  Therefore, to differentiate against today’s PON FTTH technologies</w:t>
      </w:r>
      <w:r w:rsidR="009234A8">
        <w:t xml:space="preserve">, </w:t>
      </w:r>
      <w:r>
        <w:t xml:space="preserve">an NG EPON system </w:t>
      </w:r>
      <w:r w:rsidR="009234A8">
        <w:t>will need to support significantly more than 10</w:t>
      </w:r>
      <w:r w:rsidR="00E50D59">
        <w:t xml:space="preserve"> </w:t>
      </w:r>
      <w:proofErr w:type="gramStart"/>
      <w:r w:rsidR="009234A8">
        <w:t>G</w:t>
      </w:r>
      <w:r w:rsidR="00E50D59">
        <w:t>b/</w:t>
      </w:r>
      <w:proofErr w:type="gramEnd"/>
      <w:r w:rsidR="00E50D59">
        <w:t>s</w:t>
      </w:r>
      <w:r w:rsidR="009234A8">
        <w:t xml:space="preserve"> service.  In other words, a TDM PON aggregate bit rate or a WDM PON per-wavelength bit rate of significantly more than 10 Gb/s</w:t>
      </w:r>
      <w:r w:rsidR="00E50D59">
        <w:t xml:space="preserve"> is needed to justify NG EPON</w:t>
      </w:r>
      <w:r w:rsidR="009234A8">
        <w:t xml:space="preserve">.  </w:t>
      </w:r>
    </w:p>
    <w:p w:rsidR="00806E37" w:rsidRDefault="00806E37"/>
    <w:p w:rsidR="00806E37" w:rsidRDefault="00806E37">
      <w:r>
        <w:br w:type="page"/>
      </w:r>
    </w:p>
    <w:p w:rsidR="00806E37" w:rsidRDefault="00806E37" w:rsidP="00806E37">
      <w:pPr>
        <w:spacing w:before="120" w:line="480" w:lineRule="auto"/>
        <w:ind w:left="540" w:hanging="540"/>
      </w:pPr>
      <w:r>
        <w:lastRenderedPageBreak/>
        <w:t>References</w:t>
      </w:r>
    </w:p>
    <w:p w:rsidR="00806E37" w:rsidRDefault="00806E37" w:rsidP="00806E37">
      <w:pPr>
        <w:spacing w:before="120" w:line="480" w:lineRule="auto"/>
      </w:pPr>
      <w:r>
        <w:t>[1]</w:t>
      </w:r>
      <w:r w:rsidRPr="00C62165">
        <w:t xml:space="preserve"> </w:t>
      </w:r>
      <w:r>
        <w:t>E. Harstead, R. Sharpe, “</w:t>
      </w:r>
      <w:r w:rsidRPr="00806E37">
        <w:t>Forecasting of Access Network Bandwidth Demands for Aggregated Subscribers using Monte Carlo Methods</w:t>
      </w:r>
      <w:r>
        <w:t xml:space="preserve">”, manuscript </w:t>
      </w:r>
      <w:r w:rsidR="00490940">
        <w:t xml:space="preserve">accepted pending revisions, </w:t>
      </w:r>
      <w:r>
        <w:t xml:space="preserve"> IEEE Comm. Mag.</w:t>
      </w:r>
    </w:p>
    <w:p w:rsidR="00806E37" w:rsidRDefault="00806E37" w:rsidP="00806E37">
      <w:pPr>
        <w:spacing w:before="120" w:line="480" w:lineRule="auto"/>
      </w:pPr>
      <w:r>
        <w:t>[</w:t>
      </w:r>
      <w:r w:rsidR="00536395">
        <w:t>2</w:t>
      </w:r>
      <w:r>
        <w:t>] E. Harstead, R. Sharpe,</w:t>
      </w:r>
      <w:r w:rsidRPr="00004D1A">
        <w:t xml:space="preserve"> “Future Fiber-To-The-Home bandwidth demands favor Time Division Multiplexing Passive Optical Networks”,</w:t>
      </w:r>
      <w:r>
        <w:t xml:space="preserve"> </w:t>
      </w:r>
      <w:r w:rsidRPr="00004D1A">
        <w:rPr>
          <w:i/>
        </w:rPr>
        <w:t>IEEE Communications Mag</w:t>
      </w:r>
      <w:r w:rsidRPr="00004D1A">
        <w:t>., Nov. 2012</w:t>
      </w:r>
      <w:r>
        <w:t>.</w:t>
      </w:r>
    </w:p>
    <w:p w:rsidR="00806E37" w:rsidRDefault="00806E37" w:rsidP="00806E37">
      <w:pPr>
        <w:spacing w:before="120" w:line="480" w:lineRule="auto"/>
      </w:pPr>
    </w:p>
    <w:p w:rsidR="00806E37" w:rsidRPr="00806E37" w:rsidRDefault="00806E37"/>
    <w:sectPr w:rsidR="00806E37" w:rsidRPr="00806E37" w:rsidSect="00DF4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06E37"/>
    <w:rsid w:val="00021C80"/>
    <w:rsid w:val="00110018"/>
    <w:rsid w:val="002835ED"/>
    <w:rsid w:val="002B0B3D"/>
    <w:rsid w:val="00490940"/>
    <w:rsid w:val="004B4F7C"/>
    <w:rsid w:val="00536395"/>
    <w:rsid w:val="005F536E"/>
    <w:rsid w:val="007606A6"/>
    <w:rsid w:val="007A101B"/>
    <w:rsid w:val="007C4EBB"/>
    <w:rsid w:val="00806E37"/>
    <w:rsid w:val="009234A8"/>
    <w:rsid w:val="0094638E"/>
    <w:rsid w:val="00A752E1"/>
    <w:rsid w:val="00D22DD3"/>
    <w:rsid w:val="00DF44E6"/>
    <w:rsid w:val="00E50D59"/>
    <w:rsid w:val="00EB39CF"/>
    <w:rsid w:val="00F2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E3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F536E"/>
    <w:pPr>
      <w:spacing w:line="240" w:lineRule="auto"/>
    </w:pPr>
    <w:rPr>
      <w:rFonts w:ascii="Trebuchet MS" w:eastAsia="Times New Roman" w:hAnsi="Trebuchet MS" w:cs="Tahoma"/>
      <w:b/>
      <w:bCs/>
      <w:color w:val="4F81BD" w:themeColor="accent1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0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552</Words>
  <Characters>2950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Alcatel-Lucent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harstead_ngepon_02_0914.docx</dc:title>
  <dc:subject>NG EPON Technical Report-Section4.2.2</dc:subject>
  <dc:creator>Ed Harstead</dc:creator>
  <cp:lastModifiedBy>powell</cp:lastModifiedBy>
  <cp:revision>2</cp:revision>
  <dcterms:created xsi:type="dcterms:W3CDTF">2014-09-04T19:37:00Z</dcterms:created>
  <dcterms:modified xsi:type="dcterms:W3CDTF">2014-09-04T19:37:00Z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1119068434</vt:i4>
  </property>
  <property fmtid="{D5CDD505-2E9C-101B-9397-08002B2CF9AE}" pid="3" name="_NewReviewCycle">
    <vt:lpwstr/>
  </property>
  <property fmtid="{D5CDD505-2E9C-101B-9397-08002B2CF9AE}" pid="4" name="_EmailSubject">
    <vt:lpwstr>NGEPON Contribution on bandwidth demand forecasting for Ottawa</vt:lpwstr>
  </property>
  <property fmtid="{D5CDD505-2E9C-101B-9397-08002B2CF9AE}" pid="5" name="_AuthorEmail">
    <vt:lpwstr>ed.harstead@alcatel-lucent.com</vt:lpwstr>
  </property>
  <property fmtid="{D5CDD505-2E9C-101B-9397-08002B2CF9AE}" pid="6" name="_AuthorEmailDisplayName">
    <vt:lpwstr>Harstead, Edward E (Ed)</vt:lpwstr>
  </property>
  <property fmtid="{D5CDD505-2E9C-101B-9397-08002B2CF9AE}" pid="7" name="_PreviousAdHocReviewCycleID">
    <vt:i4>1119068434</vt:i4>
  </property>
  <property fmtid="{D5CDD505-2E9C-101B-9397-08002B2CF9AE}" pid="8" name="_ReviewingToolsShownOnce">
    <vt:lpwstr/>
  </property>
</Properties>
</file>